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6.xml" ContentType="application/vnd.openxmlformats-officedocument.wordprocessingml.footer+xml"/>
  <Override PartName="/word/styles.xml" ContentType="application/vnd.openxmlformats-officedocument.wordprocessingml.styles+xml"/>
  <Override PartName="/word/footer5.xml" ContentType="application/vnd.openxmlformats-officedocument.wordprocessingml.foot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start="142" w:end="11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WYMAGANIA EDUKACYJNE</w:t>
      </w:r>
    </w:p>
    <w:p>
      <w:pPr>
        <w:pStyle w:val="Normal"/>
        <w:ind w:start="142" w:end="119"/>
        <w:rPr>
          <w:rFonts w:ascii="Times New Roman" w:hAnsi="Times New Roman"/>
          <w:sz w:val="24"/>
          <w:szCs w:val="24"/>
        </w:rPr>
      </w:pPr>
      <w:r>
        <w:rPr>
          <w:rFonts w:cs="Calibri" w:ascii="Times New Roman" w:hAnsi="Times New Roman" w:cstheme="minorHAnsi"/>
          <w:b/>
          <w:color w:val="231F20"/>
          <w:sz w:val="24"/>
          <w:szCs w:val="24"/>
          <w:shd w:fill="FFFFFF" w:val="clear"/>
        </w:rPr>
        <w:t>BIOLOGIA KLASA V</w:t>
      </w:r>
    </w:p>
    <w:p>
      <w:pPr>
        <w:pStyle w:val="Normal"/>
        <w:ind w:start="142" w:end="119"/>
        <w:rPr>
          <w:rFonts w:ascii="Calibri" w:hAnsi="Calibri" w:cs="Calibri" w:asciiTheme="minorHAnsi" w:cstheme="minorHAnsi" w:hAnsiTheme="minorHAnsi"/>
          <w:b/>
          <w:sz w:val="28"/>
        </w:rPr>
      </w:pPr>
      <w:r>
        <w:rPr>
          <w:rFonts w:cs="Calibri" w:cstheme="minorHAnsi" w:ascii="Calibri" w:hAnsi="Calibri"/>
          <w:b/>
          <w:sz w:val="28"/>
        </w:rPr>
      </w:r>
    </w:p>
    <w:p>
      <w:pPr>
        <w:sectPr>
          <w:footerReference w:type="default" r:id="rId2"/>
          <w:type w:val="nextPage"/>
          <w:pgSz w:orient="landscape" w:w="15600" w:h="11630"/>
          <w:pgMar w:left="720" w:right="720" w:gutter="0" w:header="0" w:top="720" w:footer="708" w:bottom="765"/>
          <w:pgNumType w:fmt="decimal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13745" w:type="dxa"/>
        <w:jc w:val="center"/>
        <w:tblInd w:w="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0" w:lastRow="1" w:firstColumn="1" w:lastColumn="1" w:noHBand="0" w:val="01e0"/>
      </w:tblPr>
      <w:tblGrid>
        <w:gridCol w:w="624"/>
        <w:gridCol w:w="1781"/>
        <w:gridCol w:w="2268"/>
        <w:gridCol w:w="2268"/>
        <w:gridCol w:w="2268"/>
        <w:gridCol w:w="2269"/>
        <w:gridCol w:w="2266"/>
      </w:tblGrid>
      <w:tr>
        <w:trPr>
          <w:trHeight w:val="380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-68"/>
              <w:jc w:val="center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613" w:end="613"/>
              <w:jc w:val="center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6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9" w:after="0"/>
              <w:ind w:hanging="0" w:start="4975" w:end="4975"/>
              <w:jc w:val="center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B8292F"/>
                <w:sz w:val="2"/>
                <w:szCs w:val="2"/>
              </w:rPr>
            </w:pPr>
            <w:r>
              <w:rPr>
                <w:rFonts w:cs="Calibri" w:cstheme="minorHAnsi" w:ascii="Calibri" w:hAnsi="Calibri"/>
                <w:color w:val="B8292F"/>
                <w:sz w:val="2"/>
                <w:szCs w:val="2"/>
              </w:rPr>
            </w:r>
          </w:p>
        </w:tc>
        <w:tc>
          <w:tcPr>
            <w:tcW w:w="1781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B8292F"/>
                <w:sz w:val="2"/>
                <w:szCs w:val="2"/>
              </w:rPr>
            </w:pPr>
            <w:r>
              <w:rPr>
                <w:rFonts w:cs="Calibri" w:cstheme="minorHAnsi" w:ascii="Calibri" w:hAnsi="Calibri"/>
                <w:color w:val="B8292F"/>
                <w:sz w:val="2"/>
                <w:szCs w:val="2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34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418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656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65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576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2052" w:hRule="atLeast"/>
        </w:trPr>
        <w:tc>
          <w:tcPr>
            <w:tcW w:w="624" w:type="dxa"/>
            <w:vMerge w:val="restart"/>
            <w:tcBorders>
              <w:top w:val="single" w:sz="8" w:space="0" w:color="FDB515"/>
              <w:start w:val="single" w:sz="6" w:space="0" w:color="BCBEC0"/>
              <w:end w:val="single" w:sz="6" w:space="0" w:color="BCBEC0"/>
            </w:tcBorders>
            <w:shd w:color="auto" w:fill="auto" w:val="clear"/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hanging="170" w:start="890"/>
              <w:jc w:val="start"/>
              <w:rPr>
                <w:rFonts w:ascii="Calibri" w:hAnsi="Calibri" w:cs="Calibri" w:asciiTheme="minorHAnsi" w:cstheme="minorHAnsi" w:hAnsiTheme="minorHAnsi"/>
                <w:b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7"/>
                <w:szCs w:val="22"/>
                <w:lang w:eastAsia="en-US" w:bidi="ar-SA"/>
              </w:rPr>
              <w:t>I. Biologia jako nauka</w:t>
            </w:r>
          </w:p>
        </w:tc>
        <w:tc>
          <w:tcPr>
            <w:tcW w:w="1781" w:type="dxa"/>
            <w:tcBorders>
              <w:top w:val="single" w:sz="8" w:space="0" w:color="FDB515"/>
              <w:start w:val="single" w:sz="6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2" w:after="0"/>
              <w:ind w:start="56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1. Biologia jako nauka</w:t>
            </w:r>
          </w:p>
          <w:p>
            <w:pPr>
              <w:pStyle w:val="TableParagraph"/>
              <w:widowControl w:val="false"/>
              <w:suppressAutoHyphens w:val="true"/>
              <w:spacing w:before="52" w:after="0"/>
              <w:ind w:hanging="0" w:start="49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exact" w:line="206" w:before="52" w:after="0"/>
              <w:ind w:hanging="0" w:start="5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Uczeń:</w:t>
            </w:r>
          </w:p>
          <w:p>
            <w:pPr>
              <w:pStyle w:val="Normal"/>
              <w:widowControl w:val="false"/>
              <w:numPr>
                <w:ilvl w:val="0"/>
                <w:numId w:val="28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1" w:end="57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wskazuje biologię jako naukę o organizmach</w:t>
            </w:r>
          </w:p>
          <w:p>
            <w:pPr>
              <w:pStyle w:val="Normal"/>
              <w:widowControl w:val="false"/>
              <w:numPr>
                <w:ilvl w:val="0"/>
                <w:numId w:val="28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1" w:after="0"/>
              <w:ind w:hanging="170" w:start="221" w:end="8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czynności życiowe organizmów</w:t>
            </w:r>
          </w:p>
          <w:p>
            <w:pPr>
              <w:pStyle w:val="Normal"/>
              <w:widowControl w:val="false"/>
              <w:numPr>
                <w:ilvl w:val="0"/>
                <w:numId w:val="28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1" w:end="267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podaje przykłady dziedzin biologii</w:t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exact" w:line="206" w:before="52" w:after="0"/>
              <w:ind w:hanging="0" w:start="5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Uczeń:</w:t>
            </w:r>
          </w:p>
          <w:p>
            <w:pPr>
              <w:pStyle w:val="Normal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1" w:end="338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określa przedmiot badań biologii jako nauki</w:t>
            </w:r>
          </w:p>
          <w:p>
            <w:pPr>
              <w:pStyle w:val="Normal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1" w:after="0"/>
              <w:ind w:hanging="170" w:start="221" w:end="414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opisuje wskazane cechy organizmów</w:t>
            </w:r>
          </w:p>
          <w:p>
            <w:pPr>
              <w:pStyle w:val="Normal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1" w:end="17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wyjaśnia, czym zajmuje się wskazana dziedzina biologii</w:t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exact" w:line="206" w:before="52" w:after="0"/>
              <w:ind w:hanging="0" w:start="5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Uczeń:</w:t>
            </w:r>
          </w:p>
          <w:p>
            <w:pPr>
              <w:pStyle w:val="Normal"/>
              <w:widowControl w:val="false"/>
              <w:numPr>
                <w:ilvl w:val="0"/>
                <w:numId w:val="26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1" w:end="349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wykazuje cechy wspólne organizmów</w:t>
            </w:r>
          </w:p>
          <w:p>
            <w:pPr>
              <w:pStyle w:val="Normal"/>
              <w:widowControl w:val="false"/>
              <w:numPr>
                <w:ilvl w:val="0"/>
                <w:numId w:val="26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1" w:after="0"/>
              <w:ind w:hanging="170" w:start="221" w:end="248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opisuje czynności życiowe organizmów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start="0" w:end="227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9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exact" w:line="206" w:before="52" w:after="0"/>
              <w:ind w:hanging="0" w:start="5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Uczeń: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1" w:end="326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charakteryzuje wszystkie czynności życiowe organizmów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1" w:end="88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wymienia hierarchicznie poziomy budowy organizmu roślinnego </w:t>
              <w:br/>
              <w:t>i organizmu zwierzęcego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3" w:after="0"/>
              <w:ind w:hanging="170" w:start="221" w:end="39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charakteryzuje wybrane dziedziny biologii</w:t>
            </w:r>
          </w:p>
        </w:tc>
        <w:tc>
          <w:tcPr>
            <w:tcW w:w="2266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lineRule="exact" w:line="206" w:before="52" w:after="0"/>
              <w:ind w:hanging="0" w:start="5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Uczeń:</w:t>
            </w:r>
          </w:p>
          <w:p>
            <w:pPr>
              <w:pStyle w:val="Normal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6" w:end="24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wykazuje jedność budowy organizmów</w:t>
            </w:r>
          </w:p>
          <w:p>
            <w:pPr>
              <w:pStyle w:val="Normal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1" w:after="0"/>
              <w:ind w:hanging="170" w:start="226" w:end="423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porównuje poziomy organizacji organizmów u roślin </w:t>
              <w:br/>
              <w:t>i zwierząt</w:t>
            </w:r>
          </w:p>
          <w:p>
            <w:pPr>
              <w:pStyle w:val="Normal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6" w:end="268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inne niż podane w podręczniku dziedziny biologii</w:t>
            </w:r>
          </w:p>
        </w:tc>
      </w:tr>
      <w:tr>
        <w:trPr>
          <w:trHeight w:val="1980" w:hRule="atLeast"/>
        </w:trPr>
        <w:tc>
          <w:tcPr>
            <w:tcW w:w="624" w:type="dxa"/>
            <w:vMerge w:val="continue"/>
            <w:tcBorders>
              <w:start w:val="single" w:sz="6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sz w:val="2"/>
                <w:szCs w:val="2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1650" w:leader="none"/>
                <w:tab w:val="left" w:pos="1781" w:leader="none"/>
              </w:tabs>
              <w:suppressAutoHyphens w:val="true"/>
              <w:spacing w:lineRule="auto" w:line="235" w:before="65" w:after="0"/>
              <w:ind w:hanging="172" w:start="227" w:end="13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2. Jak poznawać biologię?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172" w:start="22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exact" w:line="206" w:before="62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wskazuje obserwacje</w:t>
            </w:r>
          </w:p>
          <w:p>
            <w:pPr>
              <w:pStyle w:val="Normal"/>
              <w:widowControl w:val="false"/>
              <w:suppressAutoHyphens w:val="true"/>
              <w:spacing w:lineRule="auto" w:line="235" w:before="2" w:after="0"/>
              <w:ind w:start="226" w:end="148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i doświadczenia jako źródła wiedzy biologicznej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1" w:after="0"/>
              <w:ind w:hanging="170" w:start="221" w:end="387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źródła wiedzy biologicznej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1" w:end="468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pomocą nauczyciela przeprowadza doświadczenie metodą naukową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3" w:after="0"/>
              <w:ind w:hanging="0" w:start="51" w:end="607"/>
              <w:jc w:val="both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65" w:after="0"/>
              <w:ind w:hanging="170" w:start="221" w:end="13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porównuje obserwację </w:t>
              <w:br/>
              <w:t>z doświadczeniem jako źródła wiedzy biologicznej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1" w:end="269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korzysta ze źródeł wiedzy wskazanych przez nauczyciela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1" w:end="23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niewielką pomocą nauczyciela przeprowadza doświadczenie metodą naukową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21" w:end="468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na podstawie opisu przeprowadza doświadczenie metodą naukową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start="221" w:end="22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rozróżnia próbę kontrolną i próbę badawczą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start="221" w:end="55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opisuje źródła wiedzy biologicznej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1" w:after="0"/>
              <w:ind w:hanging="170" w:start="221" w:end="329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cechy dobrego badacza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21" w:end="39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wykazuje zalety metody naukowej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start="221" w:end="123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samodzielnie przeprowadza doświadczenie metodą naukową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start="221" w:end="59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posługuje się właściwymi źródłami wiedzy biologicznej do rozwiązywania wskazanych problemów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start="221" w:end="594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charakteryzuje cechy dobrego badacza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20" w:end="44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planuje </w:t>
              <w:br/>
              <w:t>i przeprowadza doświadczenie metodą naukową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start="220" w:end="36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krytycznie analizuje informacje pochodzące z różnych źródeł wiedzy biologicznej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start="220" w:end="398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analizuje swoją postawę w odniesieniu do cech dobrego badacza</w:t>
            </w:r>
          </w:p>
        </w:tc>
      </w:tr>
      <w:tr>
        <w:trPr>
          <w:trHeight w:val="2154" w:hRule="atLeast"/>
        </w:trPr>
        <w:tc>
          <w:tcPr>
            <w:tcW w:w="624" w:type="dxa"/>
            <w:tcBorders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sz w:val="2"/>
                <w:szCs w:val="2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6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35" w:before="65" w:after="0"/>
              <w:ind w:hanging="172" w:start="227" w:end="50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3. Obserwacje mikroskopowe</w:t>
            </w:r>
          </w:p>
          <w:p>
            <w:pPr>
              <w:pStyle w:val="Normal"/>
              <w:widowControl w:val="false"/>
              <w:suppressAutoHyphens w:val="true"/>
              <w:spacing w:lineRule="auto" w:line="235" w:before="65" w:after="0"/>
              <w:ind w:hanging="172" w:start="227" w:end="605"/>
              <w:jc w:val="start"/>
              <w:rPr>
                <w:rFonts w:ascii="Calibri" w:hAnsi="Calibri" w:cs="Calibri" w:asciiTheme="minorHAnsi" w:cstheme="minorHAnsi" w:hAnsiTheme="minorHAnsi"/>
                <w:color w:val="231F20"/>
                <w:sz w:val="17"/>
              </w:rPr>
            </w:pPr>
            <w:r>
              <w:rPr>
                <w:rFonts w:cs="Calibri" w:cstheme="minorHAnsi" w:ascii="Calibri" w:hAnsi="Calibri"/>
                <w:color w:val="231F20"/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21" w:end="5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pomocą nauczyciela  nazywa części mikroskopu optycznego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  <w:tab w:val="left" w:pos="1643" w:leader="none"/>
              </w:tabs>
              <w:suppressAutoHyphens w:val="true"/>
              <w:spacing w:lineRule="auto" w:line="235" w:before="3" w:after="0"/>
              <w:ind w:hanging="170" w:start="221" w:end="5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obserwuje pod mikroskopem preparaty przygotowane przez nauczyciela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21" w:end="243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nazywa wskazane przez nauczyciela części mikroskopu optycznego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start="221" w:end="18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pomocą nauczyciela wykonuje proste preparaty mikroskopowe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1" w:end="386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oblicza powiększenie obrazu mikroskopu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  <w:tab w:val="left" w:pos="1995" w:leader="none"/>
                <w:tab w:val="left" w:pos="2137" w:leader="none"/>
              </w:tabs>
              <w:suppressAutoHyphens w:val="true"/>
              <w:spacing w:lineRule="auto" w:line="235" w:before="65" w:after="0"/>
              <w:ind w:hanging="170" w:start="221" w:end="273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samodzielnie opisuje budowę mikroskopu optycznego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start="221" w:end="30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samodzielnie wykonuje preparaty mikroskopowe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1" w:after="0"/>
              <w:ind w:hanging="170" w:start="221" w:end="9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niewielką pomocą nauczyciela nastawia ostrość mikroskopu</w:t>
              <w:br/>
              <w:t>i wyszukuje obserwowane elementy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21" w:end="234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charakteryzuje funkcje wskazywanych części mikroskopu optycznego w kolejności tworzenia się obrazu obiektu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4" w:after="0"/>
              <w:ind w:hanging="170" w:start="221" w:end="25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wykonuje preparaty mikroskopowe, nastawia ostrość mikroskopu, rysuje obraz widziany pod mikroskopem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20" w:end="25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sprawnie posługuje się mikroskopem optycznym, samodzielnie wykonuje preparaty, rysuje dokładny obraz obiektu obserwowanego pod mikroskopem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" w:after="0"/>
              <w:ind w:hanging="0" w:start="220" w:end="226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sectPr>
          <w:type w:val="continuous"/>
          <w:pgSz w:orient="landscape" w:w="15600" w:h="11630"/>
          <w:pgMar w:left="720" w:right="720" w:gutter="0" w:header="0" w:top="720" w:footer="708" w:bottom="765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13749" w:type="dxa"/>
        <w:jc w:val="start"/>
        <w:tblInd w:w="11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0" w:lastRow="1" w:firstColumn="1" w:lastColumn="1" w:noHBand="0" w:val="01e0"/>
      </w:tblPr>
      <w:tblGrid>
        <w:gridCol w:w="624"/>
        <w:gridCol w:w="1780"/>
        <w:gridCol w:w="2269"/>
        <w:gridCol w:w="2267"/>
        <w:gridCol w:w="2269"/>
        <w:gridCol w:w="2268"/>
        <w:gridCol w:w="2271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0"/>
              <w:jc w:val="center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0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613" w:end="613"/>
              <w:jc w:val="center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44" w:type="dxa"/>
            <w:gridSpan w:val="5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92" w:after="0"/>
              <w:ind w:hanging="0" w:start="4975" w:end="4975"/>
              <w:jc w:val="center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kern w:val="0"/>
                <w:sz w:val="2"/>
                <w:szCs w:val="2"/>
                <w:lang w:eastAsia="en-US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0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kern w:val="0"/>
                <w:sz w:val="2"/>
                <w:szCs w:val="2"/>
                <w:lang w:eastAsia="en-US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34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7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418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656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65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71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576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kern w:val="0"/>
                <w:sz w:val="2"/>
                <w:szCs w:val="2"/>
                <w:lang w:eastAsia="en-US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0" w:type="dxa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17"/>
                <w:szCs w:val="22"/>
                <w:lang w:eastAsia="en-US" w:bidi="ar-SA"/>
              </w:rPr>
              <w:t>4. Hierarchiczna budowa organizmów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kern w:val="0"/>
                <w:sz w:val="2"/>
                <w:szCs w:val="2"/>
                <w:lang w:eastAsia="en-US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"/>
                <w:szCs w:val="2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kern w:val="0"/>
                <w:sz w:val="2"/>
                <w:szCs w:val="2"/>
                <w:lang w:eastAsia="en-US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"/>
                <w:szCs w:val="2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kern w:val="0"/>
                <w:sz w:val="2"/>
                <w:szCs w:val="2"/>
                <w:lang w:eastAsia="en-US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"/>
                <w:szCs w:val="2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kern w:val="0"/>
                <w:sz w:val="2"/>
                <w:szCs w:val="2"/>
                <w:lang w:eastAsia="en-US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"/>
                <w:szCs w:val="2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kern w:val="0"/>
                <w:sz w:val="2"/>
                <w:szCs w:val="2"/>
                <w:lang w:eastAsia="en-US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"/>
                <w:szCs w:val="2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color w:val="000000"/>
                <w:kern w:val="0"/>
                <w:sz w:val="2"/>
                <w:szCs w:val="2"/>
                <w:lang w:eastAsia="en-US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4"/>
              </w:numPr>
              <w:tabs>
                <w:tab w:val="clear" w:pos="720"/>
                <w:tab w:val="left" w:pos="226" w:leader="none"/>
              </w:tabs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wskazuje   komórkę jako podstawową jednostkę życia</w:t>
            </w:r>
          </w:p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34"/>
              <w:jc w:val="star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cstheme="minorHAnsi" w:ascii="Calibri" w:hAnsi="Calibri"/>
                <w:b/>
                <w:color w:val="B8292F"/>
                <w:sz w:val="17"/>
              </w:rPr>
            </w:r>
          </w:p>
        </w:tc>
        <w:tc>
          <w:tcPr>
            <w:tcW w:w="2267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4"/>
              </w:numPr>
              <w:tabs>
                <w:tab w:val="clear" w:pos="720"/>
                <w:tab w:val="left" w:pos="226" w:leader="none"/>
              </w:tabs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wymienia elementy stopniowego komplikowania się organizmu roślinnego lub zwierzęcego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4"/>
              </w:numPr>
              <w:suppressAutoHyphens w:val="true"/>
              <w:spacing w:before="87" w:after="0"/>
              <w:jc w:val="star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wymienia elementy stopniowego komplikowania się organizmu roślinnego i zwierzęcego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4"/>
              </w:numPr>
              <w:suppressAutoHyphens w:val="true"/>
              <w:spacing w:before="87" w:after="0"/>
              <w:jc w:val="star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omawia  na  ilustracji stopniowe komplikowania się budowy organizmów  zwierzęcych i  roślinnych, zwracając uwagę na różnicę organizmu roślinnego i zwierzęcego</w:t>
            </w:r>
          </w:p>
        </w:tc>
        <w:tc>
          <w:tcPr>
            <w:tcW w:w="2271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4"/>
              </w:numPr>
              <w:tabs>
                <w:tab w:val="clear" w:pos="720"/>
                <w:tab w:val="left" w:pos="226" w:leader="none"/>
              </w:tabs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analizuje na  ilustracji stopniowe komplikowania się budowy organizmów  zwierzęcych i  roślinnych</w:t>
            </w:r>
          </w:p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576"/>
              <w:jc w:val="star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cstheme="minorHAnsi" w:ascii="Calibri" w:hAnsi="Calibri"/>
                <w:b/>
                <w:color w:val="B8292F"/>
                <w:sz w:val="17"/>
              </w:rPr>
            </w:r>
          </w:p>
        </w:tc>
      </w:tr>
      <w:tr>
        <w:trPr>
          <w:trHeight w:val="2409" w:hRule="atLeast"/>
        </w:trPr>
        <w:tc>
          <w:tcPr>
            <w:tcW w:w="624" w:type="dxa"/>
            <w:vMerge w:val="continue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hanging="0" w:start="1657"/>
              <w:jc w:val="start"/>
              <w:rPr>
                <w:rFonts w:ascii="Calibri" w:hAnsi="Calibri" w:cs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</w:pPr>
            <w:r>
              <w:rPr>
                <w:rFonts w:cs="Calibri" w:cstheme="minorHAnsi" w:ascii="Calibri" w:hAnsi="Calibri"/>
                <w:b/>
                <w:color w:val="000000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1780" w:type="dxa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35" w:before="65" w:after="0"/>
              <w:ind w:hanging="172" w:start="227" w:end="348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color w:val="000000"/>
                <w:kern w:val="0"/>
                <w:sz w:val="17"/>
                <w:szCs w:val="22"/>
                <w:lang w:eastAsia="en-US" w:bidi="ar-SA"/>
              </w:rPr>
              <w:t>5. Budowa komórki zwierzęcej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172" w:start="220" w:end="242"/>
              <w:jc w:val="start"/>
              <w:rPr>
                <w:rFonts w:ascii="Calibri" w:hAnsi="Calibri" w:cs="Calibri" w:asciiTheme="minorHAnsi" w:cstheme="minorHAnsi" w:hAnsiTheme="minorHAnsi"/>
                <w:color w:val="000000"/>
                <w:kern w:val="0"/>
                <w:sz w:val="17"/>
                <w:szCs w:val="22"/>
                <w:lang w:eastAsia="en-US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65" w:after="0"/>
              <w:ind w:hanging="170" w:start="221" w:end="7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wskazuje komórkę jako podstawową jednostkę życia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1" w:end="9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podaje przykłady organizmów jedno-</w:t>
            </w:r>
          </w:p>
          <w:p>
            <w:pPr>
              <w:pStyle w:val="Normal"/>
              <w:widowControl w:val="false"/>
              <w:suppressAutoHyphens w:val="true"/>
              <w:spacing w:lineRule="exact" w:line="204" w:before="0" w:after="0"/>
              <w:ind w:start="226" w:end="9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i wielokomórkowych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1" w:after="0"/>
              <w:ind w:hanging="170" w:start="221" w:end="9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obserwuje preparat nabłonka przygotowany przez nauczyciela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2" w:after="0"/>
              <w:ind w:hanging="0" w:start="51" w:end="159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7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65" w:after="0"/>
              <w:ind w:hanging="170" w:start="221" w:end="11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wyjaśnia, dlaczego komórkę nazywamy podstawową jednostką organizmu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3" w:after="0"/>
              <w:ind w:hanging="170" w:start="221" w:end="9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organelle komórki zwierzęcej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1" w:after="0"/>
              <w:ind w:hanging="170" w:start="221" w:end="8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pomocą nauczyciela wykonuje preparat nabłonka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start="51" w:end="286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21" w:end="323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opisuje kształty komórek zwierzęcych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start="221" w:end="329"/>
              <w:jc w:val="both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opisuje budowę komórki zwierzęcej na podstawie ilustracji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start="221" w:end="243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niewielką pomocą nauczyciela wykonuje preparat nabłonka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start="51" w:end="307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21" w:end="184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rozpoznaje na ilustracji elementy budowy komórki zwierzęcej i omawia ich funkcje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exact" w:line="205" w:before="0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wykonuje preparat nabłonka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start="221" w:end="15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rozpoznaje organelle komórki zwierzęcej i rysuje jej obraz mikroskopowy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170" w:start="221" w:end="307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71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21" w:end="184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dowolnego materiału tworzy model komórki, zachowując cechy organelli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start="221" w:end="50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sprawnie posługuje się mikroskopem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1" w:after="0"/>
              <w:ind w:hanging="170" w:start="221" w:end="261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spacing w:val="-2"/>
                <w:kern w:val="0"/>
                <w:sz w:val="17"/>
                <w:szCs w:val="22"/>
                <w:lang w:eastAsia="en-US" w:bidi="ar-SA"/>
              </w:rPr>
              <w:t>samodzielnie wykonuje preparat nabłonka i rysuje dokładny obraz widziany pod mikroskopem,</w:t>
            </w:r>
          </w:p>
          <w:p>
            <w:pPr>
              <w:pStyle w:val="Normal"/>
              <w:widowControl w:val="false"/>
              <w:suppressAutoHyphens w:val="true"/>
              <w:spacing w:lineRule="auto" w:line="235" w:before="3" w:after="0"/>
              <w:ind w:start="225" w:end="97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spacing w:val="-2"/>
                <w:kern w:val="0"/>
                <w:sz w:val="17"/>
                <w:szCs w:val="22"/>
                <w:lang w:eastAsia="en-US" w:bidi="ar-SA"/>
              </w:rPr>
              <w:t>z zaznaczeniem widocznych elementów komórki</w:t>
            </w:r>
          </w:p>
        </w:tc>
      </w:tr>
      <w:tr>
        <w:trPr>
          <w:trHeight w:val="3060" w:hRule="atLeast"/>
        </w:trPr>
        <w:tc>
          <w:tcPr>
            <w:tcW w:w="624" w:type="dxa"/>
            <w:vMerge w:val="continue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sz w:val="2"/>
                <w:szCs w:val="2"/>
              </w:rPr>
            </w:r>
          </w:p>
        </w:tc>
        <w:tc>
          <w:tcPr>
            <w:tcW w:w="1780" w:type="dxa"/>
            <w:tcBorders>
              <w:top w:val="single" w:sz="4" w:space="0" w:color="BCBEC0"/>
              <w:start w:val="single" w:sz="6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35" w:before="65" w:after="0"/>
              <w:ind w:hanging="172" w:start="227" w:end="157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6. Komórka roślinna. Inne rodzaje komórek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172" w:start="220" w:end="24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start="225" w:end="92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spacing w:val="-2"/>
                <w:kern w:val="0"/>
                <w:sz w:val="17"/>
                <w:szCs w:val="22"/>
                <w:lang w:eastAsia="en-US" w:bidi="ar-SA"/>
              </w:rPr>
              <w:t>na podstawie obserwacji preparatów, ilustracji</w:t>
              <w:br/>
              <w:t xml:space="preserve">i schematów wnioskuje </w:t>
              <w:br/>
              <w:t>o komórkowej budowie organizmów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exact" w:line="205" w:before="2" w:after="0"/>
              <w:ind w:hanging="170" w:start="225" w:end="92"/>
              <w:jc w:val="start"/>
              <w:rPr>
                <w:rFonts w:ascii="Calibri" w:hAnsi="Calibri" w:cs="Calibri" w:asciiTheme="minorHAnsi" w:cstheme="minorHAnsi" w:hAnsiTheme="minorHAnsi"/>
                <w:i/>
                <w:i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elementy budowy komórki roślinnej, zwierzęcej i bakteryjnej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start="221" w:end="9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obserwuje pod mikroskopem preparat moczarki kanadyjskiej przygotowany przez nauczyciela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start="221" w:end="92"/>
              <w:jc w:val="start"/>
              <w:rPr>
                <w:rFonts w:ascii="Calibri" w:hAnsi="Calibri" w:cs="Calibri" w:asciiTheme="minorHAnsi" w:cstheme="minorHAnsi" w:hAnsiTheme="minorHAnsi"/>
                <w:spacing w:val="-2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spacing w:val="-2"/>
                <w:kern w:val="0"/>
                <w:sz w:val="17"/>
                <w:szCs w:val="22"/>
                <w:lang w:eastAsia="en-US" w:bidi="ar-SA"/>
              </w:rPr>
              <w:t>pod opieką nauczyciela rysuje obraz obiektu obserwowanego pod mikroskopem</w:t>
            </w:r>
          </w:p>
        </w:tc>
        <w:tc>
          <w:tcPr>
            <w:tcW w:w="2267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21" w:end="25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podaje przykłady komórki bezjądrowej i jądrowej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start="221" w:end="89"/>
              <w:jc w:val="start"/>
              <w:rPr>
                <w:rFonts w:ascii="Calibri" w:hAnsi="Calibri" w:cs="Calibri" w:asciiTheme="minorHAnsi" w:cstheme="minorHAnsi" w:hAnsiTheme="minorHAnsi"/>
                <w:i/>
                <w:i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funkcje elementów komórki roślinnej, zwierzęcej                    i bakteryjnej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start="221" w:end="7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pomocą nauczyciela wykonuje preparat moczarki kanadyjskiej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start="221" w:end="13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obserwuje pod mikroskopem organelle wskazane przez nauczyciela</w:t>
            </w:r>
          </w:p>
          <w:p>
            <w:pPr>
              <w:pStyle w:val="TableParagraph"/>
              <w:widowControl w:val="false"/>
              <w:suppressAutoHyphens w:val="true"/>
              <w:spacing w:lineRule="exact" w:line="204" w:before="0" w:after="0"/>
              <w:ind w:hanging="0" w:start="22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6" w:leader="none"/>
                <w:tab w:val="left" w:pos="2023" w:leader="none"/>
              </w:tabs>
              <w:suppressAutoHyphens w:val="true"/>
              <w:spacing w:lineRule="auto" w:line="235" w:before="65" w:after="0"/>
              <w:ind w:hanging="170" w:start="225" w:end="20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wyjaśnia, czym są komórki jądrowe i bezjądrowe oraz podaje ich przykłady</w:t>
            </w:r>
          </w:p>
          <w:p>
            <w:pPr>
              <w:pStyle w:val="Normal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6" w:leader="none"/>
                <w:tab w:val="left" w:pos="2023" w:leader="none"/>
              </w:tabs>
              <w:suppressAutoHyphens w:val="true"/>
              <w:spacing w:lineRule="auto" w:line="235" w:before="3" w:after="0"/>
              <w:ind w:hanging="170" w:start="225" w:end="448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samodzielnie wykonuje preparat moczarki kanadyjskiej</w:t>
            </w:r>
          </w:p>
          <w:p>
            <w:pPr>
              <w:pStyle w:val="Normal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6" w:leader="none"/>
                <w:tab w:val="left" w:pos="2023" w:leader="none"/>
              </w:tabs>
              <w:suppressAutoHyphens w:val="true"/>
              <w:spacing w:lineRule="auto" w:line="235" w:before="2" w:after="0"/>
              <w:ind w:hanging="170" w:start="225" w:end="134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odróżnia pod mikroskopem elementy budowy komórki</w:t>
            </w:r>
          </w:p>
          <w:p>
            <w:pPr>
              <w:pStyle w:val="Normal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6" w:leader="none"/>
                <w:tab w:val="left" w:pos="2023" w:leader="none"/>
              </w:tabs>
              <w:suppressAutoHyphens w:val="true"/>
              <w:spacing w:lineRule="auto" w:line="235" w:before="1" w:after="0"/>
              <w:ind w:hanging="170" w:start="225" w:end="146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 rolę poszczególnych elementów komórki</w:t>
            </w:r>
          </w:p>
          <w:p>
            <w:pPr>
              <w:pStyle w:val="Normal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6" w:leader="none"/>
                <w:tab w:val="left" w:pos="2023" w:leader="none"/>
              </w:tabs>
              <w:suppressAutoHyphens w:val="true"/>
              <w:spacing w:lineRule="auto" w:line="235" w:before="3" w:after="0"/>
              <w:ind w:hanging="170" w:start="225" w:end="33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niewielką pomocą nauczyciela rysuje obraz obiektu obserwowanego pod mikroskopem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0" w:after="0"/>
              <w:ind w:hanging="0" w:start="220" w:end="13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20" w:end="214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omawia elementy </w:t>
              <w:br/>
              <w:t>i funkcje budowy komórki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start="220" w:end="169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na podstawie ilustracji analizuje różnice między poszczególnymi typami komórek, wskazuje cechy umożliwiające rozróżnienie komórek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4" w:after="0"/>
              <w:ind w:hanging="170" w:start="220" w:end="186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samodzielnie wykonuje preparat moczarki kanadyjskiej, rozpoznaje elementy budowy komórki roślinnej i rysuje jej obraz mikroskopowy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1" w:end="68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71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20" w:end="37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analizuje różnice między poszczególnymi typami komórek </w:t>
              <w:br/>
              <w:t xml:space="preserve">i wykazuje ich związek </w:t>
              <w:br/>
              <w:t>z pełnionymi funkcjami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4" w:after="0"/>
              <w:ind w:hanging="170" w:start="220" w:end="83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sprawnie posługuje się mikroskopem, samodzielnie wykonuje preparat nabłonka i rysuje dokładny obraz widziany pod mikroskopem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1" w:end="248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</w:tr>
    </w:tbl>
    <w:p>
      <w:pPr>
        <w:pStyle w:val="Normal"/>
        <w:spacing w:lineRule="auto" w:line="235"/>
        <w:rPr>
          <w:rFonts w:ascii="Calibri" w:hAnsi="Calibri" w:cs="Calibri" w:asciiTheme="minorHAnsi" w:cstheme="minorHAnsi" w:hAnsiTheme="minorHAnsi"/>
          <w:sz w:val="17"/>
        </w:rPr>
      </w:pPr>
      <w:r>
        <w:rPr>
          <w:rFonts w:cs="Calibri" w:cstheme="minorHAnsi" w:ascii="Calibri" w:hAnsi="Calibri"/>
          <w:sz w:val="17"/>
        </w:rPr>
      </w:r>
    </w:p>
    <w:p>
      <w:pPr>
        <w:sectPr>
          <w:type w:val="continuous"/>
          <w:pgSz w:orient="landscape" w:w="15600" w:h="11630"/>
          <w:pgMar w:left="720" w:right="720" w:gutter="0" w:header="0" w:top="720" w:footer="708" w:bottom="765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13745" w:type="dxa"/>
        <w:jc w:val="center"/>
        <w:tblInd w:w="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0" w:lastRow="1" w:firstColumn="1" w:lastColumn="1" w:noHBand="0" w:val="01e0"/>
      </w:tblPr>
      <w:tblGrid>
        <w:gridCol w:w="624"/>
        <w:gridCol w:w="1781"/>
        <w:gridCol w:w="2268"/>
        <w:gridCol w:w="2268"/>
        <w:gridCol w:w="2268"/>
        <w:gridCol w:w="2269"/>
        <w:gridCol w:w="2266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-68"/>
              <w:jc w:val="center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613" w:end="613"/>
              <w:jc w:val="center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92" w:after="0"/>
              <w:ind w:hanging="0" w:start="4975" w:end="4975"/>
              <w:jc w:val="center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kern w:val="0"/>
                <w:sz w:val="2"/>
                <w:szCs w:val="2"/>
                <w:lang w:eastAsia="en-US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kern w:val="0"/>
                <w:sz w:val="2"/>
                <w:szCs w:val="2"/>
                <w:lang w:eastAsia="en-US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34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418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656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65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576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2040" w:hRule="atLeast"/>
        </w:trPr>
        <w:tc>
          <w:tcPr>
            <w:tcW w:w="624" w:type="dxa"/>
            <w:vMerge w:val="restart"/>
            <w:tcBorders>
              <w:top w:val="single" w:sz="8" w:space="0" w:color="FDB515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uppressAutoHyphens w:val="true"/>
              <w:spacing w:before="9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b/>
                <w:sz w:val="15"/>
              </w:rPr>
            </w:pPr>
            <w:r>
              <w:rPr>
                <w:rFonts w:cs="Calibri" w:cstheme="minorHAnsi" w:ascii="Calibri" w:hAnsi="Calibri"/>
                <w:b/>
                <w:sz w:val="15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start="817"/>
              <w:jc w:val="center"/>
              <w:rPr>
                <w:rFonts w:ascii="Calibri" w:hAnsi="Calibri" w:cs="Calibri" w:asciiTheme="minorHAnsi" w:cstheme="minorHAnsi" w:hAnsiTheme="minorHAnsi"/>
                <w:b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7"/>
                <w:szCs w:val="22"/>
                <w:lang w:eastAsia="en-US" w:bidi="ar-SA"/>
              </w:rPr>
              <w:t>II. Budowa i czynności życiowe organizmów</w:t>
            </w:r>
          </w:p>
          <w:p>
            <w:pPr>
              <w:pStyle w:val="TableParagraph"/>
              <w:widowControl w:val="false"/>
              <w:suppressAutoHyphens w:val="true"/>
              <w:spacing w:before="9" w:after="0"/>
              <w:ind w:hanging="0" w:start="0"/>
              <w:jc w:val="center"/>
              <w:rPr>
                <w:rFonts w:ascii="Calibri" w:hAnsi="Calibri" w:cs="Calibri" w:asciiTheme="minorHAnsi" w:cstheme="minorHAnsi" w:hAnsiTheme="minorHAnsi"/>
                <w:b/>
                <w:sz w:val="15"/>
              </w:rPr>
            </w:pPr>
            <w:r>
              <w:rPr>
                <w:rFonts w:cs="Calibri" w:cstheme="minorHAnsi" w:ascii="Calibri" w:hAnsi="Calibri"/>
                <w:b/>
                <w:sz w:val="15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0" w:start="3819"/>
              <w:jc w:val="start"/>
              <w:rPr>
                <w:rFonts w:ascii="Calibri" w:hAnsi="Calibri" w:cs="Calibri" w:asciiTheme="minorHAnsi" w:cstheme="minorHAnsi" w:hAnsiTheme="minorHAnsi"/>
                <w:b/>
                <w:sz w:val="17"/>
              </w:rPr>
            </w:pPr>
            <w:r>
              <w:rPr>
                <w:rFonts w:cs="Calibri" w:cstheme="minorHAnsi" w:ascii="Calibri" w:hAnsi="Calibri"/>
                <w:b/>
                <w:sz w:val="17"/>
              </w:rPr>
            </w:r>
          </w:p>
        </w:tc>
        <w:tc>
          <w:tcPr>
            <w:tcW w:w="1781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7" w:after="0"/>
              <w:ind w:start="56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7. Samożywność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172" w:start="223" w:end="323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start="221" w:end="74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wyjaśnia, czym jest odżywianie się</w:t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1" w:end="74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wyjaśnia, czym jest samożywność</w:t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1" w:after="0"/>
              <w:ind w:hanging="170" w:start="221" w:end="18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podaje przykłady organizmów samożywnych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start="51" w:end="237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start="221" w:end="243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wskazuje fotosyntezę jako sposób </w:t>
              <w:br/>
              <w:t>odżywiania się</w:t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1" w:end="11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wskazuje substancje biorące udział                           w fotosyntezie</w:t>
            </w:r>
          </w:p>
          <w:p>
            <w:pPr>
              <w:pStyle w:val="Normal"/>
              <w:widowControl w:val="false"/>
              <w:suppressAutoHyphens w:val="true"/>
              <w:spacing w:lineRule="auto" w:line="235" w:before="1" w:after="0"/>
              <w:ind w:start="226" w:end="13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i wymienia produkty fotosyntezy</w:t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1" w:end="193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pomocą nauczyciela przeprowadza doświadczenie wykazujące wpływ dwutlenku węgla na intensywność przebiegu fotosyntezy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61" w:after="0"/>
              <w:ind w:hanging="0" w:start="51" w:end="53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3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start="226" w:end="54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czynniki niezbędne do przeprowadzania fotosyntezy</w:t>
            </w:r>
          </w:p>
          <w:p>
            <w:pPr>
              <w:pStyle w:val="Normal"/>
              <w:widowControl w:val="false"/>
              <w:numPr>
                <w:ilvl w:val="0"/>
                <w:numId w:val="33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exact" w:line="205" w:before="0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wskazuje substraty</w:t>
            </w:r>
          </w:p>
          <w:p>
            <w:pPr>
              <w:pStyle w:val="Normal"/>
              <w:widowControl w:val="false"/>
              <w:suppressAutoHyphens w:val="true"/>
              <w:spacing w:lineRule="exact" w:line="204" w:before="0" w:after="0"/>
              <w:ind w:start="226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i produkty fotosyntezy</w:t>
            </w:r>
          </w:p>
          <w:p>
            <w:pPr>
              <w:pStyle w:val="Normal"/>
              <w:widowControl w:val="false"/>
              <w:numPr>
                <w:ilvl w:val="0"/>
                <w:numId w:val="3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0" w:after="0"/>
              <w:ind w:hanging="170" w:start="226" w:end="207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niewielką pomocą nauczyciela przeprowadza doświadczenie wykazujące wpływ dwutlenku węgla na intensywność fotosyntezy</w:t>
            </w:r>
          </w:p>
        </w:tc>
        <w:tc>
          <w:tcPr>
            <w:tcW w:w="2269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start="221" w:end="33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wyjaśnia, na czym polega fotosynteza</w:t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suppressAutoHyphens w:val="true"/>
              <w:spacing w:lineRule="auto" w:line="235" w:before="2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omawia zależność przebiegu fotosyntezy od obecności </w:t>
            </w:r>
            <w:r>
              <w:rPr>
                <w:rFonts w:cs="Calibri" w:ascii="Calibri" w:hAnsi="Calibri" w:asciiTheme="minorHAnsi" w:cstheme="minorHAnsi" w:hAnsiTheme="minorHAnsi"/>
                <w:color w:val="231F20"/>
                <w:spacing w:val="-3"/>
                <w:kern w:val="0"/>
                <w:sz w:val="17"/>
                <w:szCs w:val="22"/>
                <w:lang w:eastAsia="en-US" w:bidi="ar-SA"/>
              </w:rPr>
              <w:t xml:space="preserve">wody, </w:t>
            </w: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dwutlenku węgla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br/>
            </w: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i światła</w:t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227" w:leader="none"/>
                <w:tab w:val="left" w:pos="2137" w:leader="none"/>
              </w:tabs>
              <w:suppressAutoHyphens w:val="true"/>
              <w:spacing w:lineRule="auto" w:line="235" w:before="1" w:after="0"/>
              <w:ind w:hanging="170" w:start="221" w:end="457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schematycznie zapisuje i omawia przebieg fotosyntezy</w:t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3" w:after="0"/>
              <w:ind w:hanging="170" w:start="221" w:end="207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na podstawie opisu przeprowadza doświadczenie wykazujące wpływ dwutlenku węgla</w:t>
            </w:r>
          </w:p>
          <w:p>
            <w:pPr>
              <w:pStyle w:val="Normal"/>
              <w:widowControl w:val="false"/>
              <w:suppressAutoHyphens w:val="true"/>
              <w:spacing w:lineRule="exact" w:line="207" w:before="0" w:after="0"/>
              <w:ind w:start="226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na intensywność fotosyntezy</w:t>
            </w:r>
          </w:p>
        </w:tc>
        <w:tc>
          <w:tcPr>
            <w:tcW w:w="2266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start="221" w:end="216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analizuje przystosowanie roślin do przeprowadzania fotosyntezy</w:t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3" w:after="0"/>
              <w:ind w:hanging="170" w:start="221" w:end="17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planuje i samodzielnie przeprowadza doświadczenie wykazujące wpływ dwutlenku węgla na intensywność fotosyntezy</w:t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3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na podstawie zdobytej wcześniej wiedzy wskazuje </w:t>
              <w:br/>
              <w:t>w różnych warzywach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br/>
            </w: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i owocach materiały zapasowe jako produkty fotosyntezy</w:t>
            </w:r>
          </w:p>
        </w:tc>
      </w:tr>
      <w:tr>
        <w:trPr>
          <w:trHeight w:val="2040" w:hRule="atLeast"/>
        </w:trPr>
        <w:tc>
          <w:tcPr>
            <w:tcW w:w="624" w:type="dxa"/>
            <w:vMerge w:val="continue"/>
            <w:tcBorders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sz w:val="2"/>
                <w:szCs w:val="2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2" w:after="0"/>
              <w:ind w:start="56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8. Cudzożywność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172" w:start="222" w:end="58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65" w:after="0"/>
              <w:ind w:hanging="170" w:start="221" w:end="74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wyjaśnia, czym jest cudzożywność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1" w:end="13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podaje przykłady organizmów cudzożywnych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7" w:leader="none"/>
                <w:tab w:val="left" w:pos="2137" w:leader="none"/>
              </w:tabs>
              <w:suppressAutoHyphens w:val="true"/>
              <w:spacing w:lineRule="auto" w:line="235" w:before="1" w:after="0"/>
              <w:ind w:hanging="170" w:start="221" w:end="13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rodzaje cudzożywności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start="51" w:end="379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65" w:after="0"/>
              <w:ind w:hanging="170" w:start="221" w:end="13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krótko opisuje różne sposoby odżywiania się zwierząt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3" w:after="0"/>
              <w:ind w:hanging="170" w:start="221" w:end="194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wyjaśnia, w jaki sposób wskazany organizm cudzożywny pobiera pokarm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start="51" w:end="178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21" w:end="26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omawia wybrane sposoby cudzożywności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start="221" w:end="13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podaje przykłady organizmów należących </w:t>
              <w:br/>
              <w:t>do różnych grup organizmów cudzożywnych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0" w:start="51" w:end="21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21" w:end="11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charakteryzuje rodzaje cudzożywności występujące u różnych grup organizmów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start="221" w:end="119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wykazuje przystosowania do pobierania pokarmów występujące u różnych grup organizmów cudzożywnych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1" w:end="489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21" w:end="158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 znaczenie organizmów odżywiających się martwą substancją organiczną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suppressAutoHyphens w:val="true"/>
              <w:spacing w:lineRule="exact" w:line="204" w:before="0" w:after="0"/>
              <w:ind w:hanging="0" w:start="22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</w:tr>
      <w:tr>
        <w:trPr>
          <w:trHeight w:val="2520" w:hRule="atLeast"/>
        </w:trPr>
        <w:tc>
          <w:tcPr>
            <w:tcW w:w="624" w:type="dxa"/>
            <w:vMerge w:val="continue"/>
            <w:tcBorders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sz w:val="2"/>
                <w:szCs w:val="2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35" w:before="65" w:after="0"/>
              <w:ind w:hanging="159" w:start="214" w:end="24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spacing w:val="-3"/>
                <w:kern w:val="0"/>
                <w:sz w:val="17"/>
                <w:szCs w:val="22"/>
                <w:lang w:eastAsia="en-US" w:bidi="ar-SA"/>
              </w:rPr>
              <w:t xml:space="preserve">9. </w:t>
            </w:r>
            <w:r>
              <w:rPr>
                <w:rFonts w:cs="Calibri" w:ascii="Calibri" w:hAnsi="Calibri" w:asciiTheme="minorHAnsi" w:cstheme="minorHAnsi" w:hAnsiTheme="minorHAnsi"/>
                <w:color w:val="231F20"/>
                <w:spacing w:val="-5"/>
                <w:kern w:val="0"/>
                <w:sz w:val="17"/>
                <w:szCs w:val="22"/>
                <w:lang w:eastAsia="en-US" w:bidi="ar-SA"/>
              </w:rPr>
              <w:t>Sposoby oddychania organizmów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172" w:start="219" w:end="283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20" w:end="82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określa, czym jest oddychanie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start="220" w:end="13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sposoby oddychania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1" w:after="0"/>
              <w:ind w:hanging="170" w:start="220" w:end="5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wskazuje drożdże jako organizmy przeprowadzające fermentację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20" w:end="194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wyróżnia oddychanie tlenowe i fermentację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  <w:tab w:val="left" w:pos="2137" w:leader="none"/>
              </w:tabs>
              <w:suppressAutoHyphens w:val="true"/>
              <w:spacing w:lineRule="auto" w:line="235" w:before="1" w:after="0"/>
              <w:ind w:hanging="170" w:start="225" w:end="5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wskazuje organizmy uzyskujące energię</w:t>
              <w:br/>
              <w:t xml:space="preserve">z oddychania tlenowego </w:t>
              <w:br/>
              <w:t>i fermentacji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start="220" w:end="194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wyjaśnia, że produktem fermentacji drożdży jest dwutlenek węgla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start="220" w:end="194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wskazuje mitochondrium jako miejsce, w którym zachodzi utlenianie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20" w:end="19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 znaczenie oddychania komórkowego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wskazuje różnice w miejscu przebiegu utleniania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br/>
            </w: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i fermentacji w komórce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1" w:after="0"/>
              <w:ind w:hanging="170" w:start="220" w:end="153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narządy wymiany gazowej zwierząt lądowych i wodnych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start="220" w:end="13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omawia doświadczenie wykazujące wydzielanie dwutlenku węgla przez drożdże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20" w:end="13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zapisuje schematycznie przebieg oddychania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start="220" w:end="203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określa warunki przebiegu oddychania i fermentacji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1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charakteryzuje wymianę gazową u roślin i zwierząt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  <w:tab w:val="left" w:pos="2058" w:leader="none"/>
              </w:tabs>
              <w:suppressAutoHyphens w:val="true"/>
              <w:spacing w:lineRule="auto" w:line="235" w:before="2" w:after="0"/>
              <w:ind w:hanging="170" w:start="220" w:end="208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pomocą nauczyciela przeprowadza doświadczenie wykazujące wydzielanie dwutlenku węgla przez drożdże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start="225" w:end="59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porównuje zapis przebiegu oddychania tlenowego</w:t>
              <w:br/>
              <w:t>z zapisem przebiegu fermentacji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1" w:after="0"/>
              <w:ind w:hanging="170" w:start="220" w:end="108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analizuje związek budowy narządów wymiany gazowej ze środowiskiem życia organizmów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start="220" w:end="123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samodzielnie przeprowadza doświadczenie wykazujące wydzielanie dwutlenku węgla przez drożdże</w:t>
            </w:r>
          </w:p>
        </w:tc>
      </w:tr>
    </w:tbl>
    <w:p>
      <w:pPr>
        <w:pStyle w:val="Normal"/>
        <w:spacing w:lineRule="exact" w:line="204"/>
        <w:rPr>
          <w:rFonts w:ascii="Calibri" w:hAnsi="Calibri" w:cs="Calibri" w:asciiTheme="minorHAnsi" w:cstheme="minorHAnsi" w:hAnsiTheme="minorHAnsi"/>
          <w:sz w:val="17"/>
        </w:rPr>
      </w:pPr>
      <w:r>
        <w:rPr>
          <w:rFonts w:cs="Calibri" w:cstheme="minorHAnsi" w:ascii="Calibri" w:hAnsi="Calibri"/>
          <w:sz w:val="17"/>
        </w:rPr>
      </w:r>
    </w:p>
    <w:p>
      <w:pPr>
        <w:sectPr>
          <w:type w:val="continuous"/>
          <w:pgSz w:orient="landscape" w:w="15600" w:h="11630"/>
          <w:pgMar w:left="720" w:right="720" w:gutter="0" w:header="0" w:top="720" w:footer="708" w:bottom="765"/>
          <w:formProt w:val="false"/>
          <w:textDirection w:val="lrTb"/>
          <w:docGrid w:type="default" w:linePitch="100" w:charSpace="0"/>
        </w:sectPr>
      </w:pPr>
    </w:p>
    <w:tbl>
      <w:tblPr>
        <w:tblStyle w:val="TableNormal"/>
        <w:tblW w:w="13745" w:type="dxa"/>
        <w:jc w:val="start"/>
        <w:tblInd w:w="11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0" w:lastRow="1" w:firstColumn="1" w:lastColumn="1" w:noHBand="0" w:val="01e0"/>
      </w:tblPr>
      <w:tblGrid>
        <w:gridCol w:w="624"/>
        <w:gridCol w:w="1781"/>
        <w:gridCol w:w="2268"/>
        <w:gridCol w:w="2268"/>
        <w:gridCol w:w="2268"/>
        <w:gridCol w:w="2269"/>
        <w:gridCol w:w="2266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0"/>
              <w:jc w:val="center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613" w:end="613"/>
              <w:jc w:val="center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92" w:after="0"/>
              <w:ind w:hanging="0" w:start="4975" w:end="4975"/>
              <w:jc w:val="center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kern w:val="0"/>
                <w:sz w:val="2"/>
                <w:szCs w:val="2"/>
                <w:lang w:eastAsia="en-US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kern w:val="0"/>
                <w:sz w:val="2"/>
                <w:szCs w:val="2"/>
                <w:lang w:eastAsia="en-US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34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418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656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65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576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2145" w:hRule="atLeast"/>
        </w:trPr>
        <w:tc>
          <w:tcPr>
            <w:tcW w:w="624" w:type="dxa"/>
            <w:vMerge w:val="restart"/>
            <w:tcBorders>
              <w:top w:val="single" w:sz="8" w:space="0" w:color="FDB515"/>
              <w:start w:val="single" w:sz="6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uppressAutoHyphens w:val="true"/>
              <w:spacing w:before="9" w:after="0"/>
              <w:ind w:hanging="0" w:start="0"/>
              <w:jc w:val="start"/>
              <w:rPr>
                <w:rFonts w:ascii="Calibri" w:hAnsi="Calibri" w:cs="Calibri" w:asciiTheme="minorHAnsi" w:cstheme="minorHAnsi" w:hAnsiTheme="minorHAnsi"/>
                <w:b/>
                <w:sz w:val="15"/>
              </w:rPr>
            </w:pPr>
            <w:r>
              <w:rPr>
                <w:rFonts w:cs="Calibri" w:cstheme="minorHAnsi" w:ascii="Calibri" w:hAnsi="Calibri"/>
                <w:b/>
                <w:sz w:val="15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hanging="170" w:start="170"/>
              <w:jc w:val="start"/>
              <w:rPr>
                <w:rFonts w:ascii="Calibri" w:hAnsi="Calibri" w:cs="Calibri" w:asciiTheme="minorHAnsi" w:cstheme="minorHAnsi" w:hAnsiTheme="minorHAnsi"/>
                <w:b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7"/>
                <w:szCs w:val="22"/>
                <w:lang w:eastAsia="en-US" w:bidi="ar-SA"/>
              </w:rPr>
              <w:t>III. Wirusy, bakterie, protisty i grzyby</w:t>
            </w:r>
          </w:p>
        </w:tc>
        <w:tc>
          <w:tcPr>
            <w:tcW w:w="1781" w:type="dxa"/>
            <w:tcBorders>
              <w:top w:val="single" w:sz="8" w:space="0" w:color="FDB515"/>
              <w:start w:val="single" w:sz="6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35" w:before="70" w:after="0"/>
              <w:ind w:hanging="254" w:start="31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10. Klasyfikacja organizmów</w:t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hanging="0" w:start="306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start="221" w:end="474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jednostki klasyfikacji biologicznej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1" w:end="264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nazwy królestw organizmów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19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start="221" w:end="23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wyjaśnia, czym zajmuje się systematyka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exact" w:line="204" w:before="0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podaje definicję gatunku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1" w:end="26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nazwy królestw i podaje przykłady organizmów należących do danego królestwa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start="0" w:end="537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start="221" w:end="24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wykazuje hierarchiczną strukturę jednostek klasyfikacji biologicznej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3" w:after="0"/>
              <w:ind w:hanging="170" w:start="221" w:end="324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charakteryzuje wskazane królestwo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1" w:after="0"/>
              <w:ind w:hanging="170" w:start="221" w:end="76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na podstawie ilustracji przyporządkowuje organizm do królestwa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28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9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start="221" w:end="36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porównuje wcześniejsze i współczesne zasady klasyfikacji organizmów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3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 zasady nadawania nazw gatunkom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1" w:after="0"/>
              <w:ind w:hanging="170" w:start="221" w:end="207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przedstawia cechy organizmów, </w:t>
              <w:br/>
              <w:t>na podstawie których można je zaklasyfikować do danego królestwa</w:t>
            </w:r>
          </w:p>
        </w:tc>
        <w:tc>
          <w:tcPr>
            <w:tcW w:w="2266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  <w:tab w:val="left" w:pos="2168" w:leader="none"/>
              </w:tabs>
              <w:suppressAutoHyphens w:val="true"/>
              <w:spacing w:lineRule="auto" w:line="235" w:before="70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uzasadnia konieczność klasyfikacji organizmów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porównuje jednostki klasyfikacji zwierząt</w:t>
            </w:r>
          </w:p>
          <w:p>
            <w:pPr>
              <w:pStyle w:val="Normal"/>
              <w:widowControl w:val="false"/>
              <w:suppressAutoHyphens w:val="true"/>
              <w:spacing w:lineRule="auto" w:line="235" w:before="1" w:after="0"/>
              <w:ind w:start="226" w:end="318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jednostkami klasyfikacji roślin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1" w:end="179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z pomocą nauczyciela korzysta z różnych kluczy do oznaczania organizmów żyjących </w:t>
              <w:br/>
              <w:t>w najbliższej okolicy</w:t>
            </w:r>
          </w:p>
        </w:tc>
      </w:tr>
      <w:tr>
        <w:trPr>
          <w:trHeight w:val="2370" w:hRule="atLeast"/>
        </w:trPr>
        <w:tc>
          <w:tcPr>
            <w:tcW w:w="624" w:type="dxa"/>
            <w:vMerge w:val="continue"/>
            <w:tcBorders>
              <w:start w:val="single" w:sz="6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sz w:val="2"/>
                <w:szCs w:val="2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2" w:after="0"/>
              <w:ind w:start="56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11. Wirusy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8" w:start="306" w:end="23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4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65" w:after="0"/>
              <w:ind w:hanging="170" w:start="226" w:end="9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wyjaśnia krótko, dlaczego wirusy nie są organizmami</w:t>
            </w:r>
          </w:p>
          <w:p>
            <w:pPr>
              <w:pStyle w:val="Normal"/>
              <w:widowControl w:val="false"/>
              <w:numPr>
                <w:ilvl w:val="0"/>
                <w:numId w:val="34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6" w:end="92"/>
              <w:jc w:val="start"/>
              <w:rPr>
                <w:rFonts w:ascii="Calibri" w:hAnsi="Calibri" w:cs="Calibri" w:asciiTheme="minorHAnsi" w:cstheme="minorHAnsi" w:hAnsiTheme="minorHAnsi"/>
                <w:color w:val="FF0000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wymienia miejsca występowania wirusów</w:t>
            </w:r>
            <w:r>
              <w:rPr>
                <w:rFonts w:cs="Calibri" w:ascii="Calibri" w:hAnsi="Calibri" w:asciiTheme="minorHAnsi" w:cstheme="minorHAnsi" w:hAnsiTheme="minorHAnsi"/>
                <w:color w:val="FF0000"/>
                <w:kern w:val="0"/>
                <w:sz w:val="17"/>
                <w:szCs w:val="22"/>
                <w:lang w:eastAsia="en-US" w:bidi="ar-SA"/>
              </w:rPr>
              <w:t xml:space="preserve"> </w:t>
              <w:br/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7" w:leader="none"/>
                <w:tab w:val="left" w:pos="2168" w:leader="none"/>
              </w:tabs>
              <w:suppressAutoHyphens w:val="true"/>
              <w:spacing w:lineRule="auto" w:line="235" w:before="1" w:after="0"/>
              <w:ind w:hanging="170" w:start="221" w:end="344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opisuje cechy budowy wirusów</w:t>
            </w:r>
          </w:p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7" w:leader="none"/>
                <w:tab w:val="left" w:pos="2168" w:leader="none"/>
              </w:tabs>
              <w:suppressAutoHyphens w:val="true"/>
              <w:spacing w:lineRule="auto" w:line="235" w:before="1" w:after="0"/>
              <w:ind w:hanging="170" w:start="221" w:end="344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wymienia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kern w:val="0"/>
                <w:sz w:val="17"/>
                <w:szCs w:val="22"/>
                <w:lang w:eastAsia="en-US" w:bidi="ar-SA"/>
              </w:rPr>
              <w:t xml:space="preserve"> cechy,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którymi wirusy różnią się od organizmów</w:t>
            </w:r>
          </w:p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1" w:end="239"/>
              <w:jc w:val="start"/>
              <w:rPr>
                <w:rFonts w:ascii="Calibri" w:hAnsi="Calibri" w:cs="Calibri" w:asciiTheme="minorHAnsi" w:cstheme="minorHAnsi" w:hAnsiTheme="minorHAnsi"/>
                <w:color w:val="FF0000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podaje przykłady chorób wirusowych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6" w:leader="none"/>
                <w:tab w:val="left" w:pos="1598" w:leader="none"/>
              </w:tabs>
              <w:suppressAutoHyphens w:val="true"/>
              <w:spacing w:lineRule="auto" w:line="235" w:before="65" w:after="0"/>
              <w:ind w:hanging="170" w:start="221" w:end="10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wykazuje, dlaczego wirusy nie są organizmami</w:t>
            </w:r>
          </w:p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6" w:leader="none"/>
                <w:tab w:val="left" w:pos="1598" w:leader="none"/>
              </w:tabs>
              <w:suppressAutoHyphens w:val="true"/>
              <w:spacing w:lineRule="auto" w:line="235" w:before="65" w:after="0"/>
              <w:ind w:hanging="170" w:start="221" w:end="10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omawia wybrane choroby wirusowe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6" w:leader="none"/>
                <w:tab w:val="left" w:pos="1598" w:leader="none"/>
              </w:tabs>
              <w:suppressAutoHyphens w:val="true"/>
              <w:spacing w:lineRule="auto" w:line="235" w:before="1" w:after="0"/>
              <w:ind w:start="221" w:end="101"/>
              <w:jc w:val="start"/>
              <w:rPr>
                <w:rFonts w:ascii="Calibri" w:hAnsi="Calibri" w:cs="Calibri" w:asciiTheme="minorHAnsi" w:cstheme="minorHAnsi" w:hAnsiTheme="minorHAnsi"/>
                <w:color w:val="FF0000"/>
              </w:rPr>
            </w:pPr>
            <w:r>
              <w:rPr>
                <w:rFonts w:cs="Calibri" w:cstheme="minorHAnsi" w:ascii="Calibri" w:hAnsi="Calibri"/>
                <w:color w:val="FF0000"/>
                <w:sz w:val="22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start="220" w:end="10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wskazuje drogi wnikania wirusów do organizmu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start="220" w:end="10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omawia wdrażanie zasad profilaktyki chorób wirusowych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0" w:start="220" w:end="360"/>
              <w:jc w:val="start"/>
              <w:rPr>
                <w:rFonts w:ascii="Calibri" w:hAnsi="Calibri" w:cs="Calibri" w:asciiTheme="minorHAnsi" w:cstheme="minorHAnsi" w:hAnsiTheme="minorHAnsi"/>
                <w:color w:val="FF0000"/>
                <w:sz w:val="17"/>
              </w:rPr>
            </w:pPr>
            <w:r>
              <w:rPr>
                <w:rFonts w:cs="Calibri" w:cstheme="minorHAnsi" w:ascii="Calibri" w:hAnsi="Calibri"/>
                <w:color w:val="FF0000"/>
                <w:sz w:val="17"/>
              </w:rPr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5"/>
              </w:numPr>
              <w:tabs>
                <w:tab w:val="clear" w:pos="720"/>
                <w:tab w:val="left" w:pos="227" w:leader="none"/>
              </w:tabs>
              <w:suppressAutoHyphens w:val="true"/>
              <w:spacing w:before="0" w:after="0"/>
              <w:ind w:hanging="170" w:start="221" w:end="173"/>
              <w:contextualSpacing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wyszukuje informacje              w materiałach edukacji zdrowotnej o zasadach  profilaktyki chorób wywoływanych przez wirusy(grypa, różyczka, świnka, odra, AIDS)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0" w:after="0"/>
              <w:ind w:hanging="170" w:start="221" w:end="393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</w:tr>
      <w:tr>
        <w:trPr>
          <w:trHeight w:val="2370" w:hRule="atLeast"/>
        </w:trPr>
        <w:tc>
          <w:tcPr>
            <w:tcW w:w="624" w:type="dxa"/>
            <w:tcBorders>
              <w:start w:val="single" w:sz="6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sz w:val="2"/>
                <w:szCs w:val="2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2" w:after="0"/>
              <w:ind w:start="56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12. Bakterie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4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6" w:end="9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wskazuje  miejsca występowania  bakterii</w:t>
            </w:r>
          </w:p>
          <w:p>
            <w:pPr>
              <w:pStyle w:val="Normal"/>
              <w:widowControl w:val="false"/>
              <w:numPr>
                <w:ilvl w:val="0"/>
                <w:numId w:val="34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6" w:end="9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wymienia czynności życiowe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65" w:after="0"/>
              <w:ind w:start="226" w:end="92"/>
              <w:jc w:val="start"/>
              <w:rPr>
                <w:rFonts w:ascii="Calibri" w:hAnsi="Calibri" w:cs="Calibri" w:asciiTheme="minorHAnsi" w:cstheme="minorHAnsi" w:hAnsiTheme="minorHAnsi"/>
                <w:color w:val="FF0000"/>
                <w:sz w:val="17"/>
              </w:rPr>
            </w:pPr>
            <w:r>
              <w:rPr>
                <w:rFonts w:cs="Calibri" w:cstheme="minorHAnsi" w:ascii="Calibri" w:hAnsi="Calibri"/>
                <w:color w:val="FF0000"/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1" w:end="524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opisuje cechy budowy  bakterii</w:t>
            </w:r>
          </w:p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1" w:end="239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wymienia przykłady bakterii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start="221" w:end="524"/>
              <w:jc w:val="start"/>
              <w:rPr>
                <w:rFonts w:ascii="Calibri" w:hAnsi="Calibri" w:cs="Calibri" w:asciiTheme="minorHAnsi" w:cstheme="minorHAnsi" w:hAnsiTheme="minorHAnsi"/>
                <w:color w:val="FF0000"/>
                <w:sz w:val="17"/>
              </w:rPr>
            </w:pPr>
            <w:r>
              <w:rPr>
                <w:rFonts w:cs="Calibri" w:cstheme="minorHAnsi" w:ascii="Calibri" w:hAnsi="Calibri"/>
                <w:color w:val="FF0000"/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6" w:leader="none"/>
                <w:tab w:val="left" w:pos="1598" w:leader="none"/>
              </w:tabs>
              <w:suppressAutoHyphens w:val="true"/>
              <w:spacing w:lineRule="auto" w:line="235" w:before="65" w:after="0"/>
              <w:ind w:hanging="170" w:start="221" w:end="10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omawia wybrane czynności życiowe bakterii</w:t>
            </w:r>
          </w:p>
          <w:p>
            <w:pPr>
              <w:pStyle w:val="Normal"/>
              <w:widowControl w:val="false"/>
              <w:numPr>
                <w:ilvl w:val="0"/>
                <w:numId w:val="45"/>
              </w:numPr>
              <w:tabs>
                <w:tab w:val="clear" w:pos="720"/>
                <w:tab w:val="left" w:pos="227" w:leader="none"/>
              </w:tabs>
              <w:suppressAutoHyphens w:val="true"/>
              <w:spacing w:before="0" w:after="0"/>
              <w:ind w:hanging="170" w:start="221" w:end="709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wyjaśnia znaczenie  bakterii                         w  przyrodzie i dla człowieka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6" w:leader="none"/>
                <w:tab w:val="left" w:pos="1598" w:leader="none"/>
              </w:tabs>
              <w:suppressAutoHyphens w:val="true"/>
              <w:spacing w:lineRule="auto" w:line="235" w:before="65" w:after="0"/>
              <w:ind w:start="221" w:end="10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20" w:end="24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omawia wpływ bakterii na organizm człowieka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start="220" w:end="10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wskazuje drogi wnikania bakterii do organizmu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1" w:after="0"/>
              <w:ind w:hanging="170" w:start="220" w:end="214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prezentuje wszystkie czynności życiowe bakterii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20" w:end="241"/>
              <w:jc w:val="start"/>
              <w:rPr>
                <w:rFonts w:ascii="Calibri" w:hAnsi="Calibri" w:cs="Calibri" w:asciiTheme="minorHAnsi" w:cstheme="minorHAnsi" w:hAnsiTheme="minorHAnsi"/>
                <w:color w:val="FF0000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ocenia znaczenie  bakterii</w:t>
              <w:br/>
              <w:t>w przyrodzie i dla człowieka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omawia choroby </w:t>
              <w:br/>
              <w:t xml:space="preserve"> bakteryjne,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wskazuje drogi ich przenoszenia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przedstawia zasady zapobiegania tym chorobom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ocenia znaczenie  bakterii</w:t>
              <w:br/>
              <w:t>w przyrodzie i dla człowieka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6" w:leader="none"/>
                <w:tab w:val="left" w:pos="2168" w:leader="none"/>
              </w:tabs>
              <w:suppressAutoHyphens w:val="true"/>
              <w:spacing w:lineRule="auto" w:line="235" w:before="65" w:after="0"/>
              <w:ind w:start="220" w:end="100"/>
              <w:jc w:val="start"/>
              <w:rPr>
                <w:rFonts w:ascii="Calibri" w:hAnsi="Calibri" w:cs="Calibri" w:asciiTheme="minorHAnsi" w:cstheme="minorHAnsi" w:hAnsiTheme="minorHAnsi"/>
                <w:color w:val="231F20"/>
                <w:sz w:val="17"/>
              </w:rPr>
            </w:pPr>
            <w:r>
              <w:rPr>
                <w:rFonts w:cs="Calibri" w:cstheme="minorHAnsi" w:ascii="Calibri" w:hAnsi="Calibri"/>
                <w:color w:val="231F20"/>
                <w:sz w:val="17"/>
              </w:rPr>
            </w:r>
          </w:p>
        </w:tc>
      </w:tr>
    </w:tbl>
    <w:p>
      <w:pPr>
        <w:sectPr>
          <w:type w:val="continuous"/>
          <w:pgSz w:orient="landscape" w:w="15600" w:h="11630"/>
          <w:pgMar w:left="720" w:right="720" w:gutter="0" w:header="0" w:top="720" w:footer="708" w:bottom="765"/>
          <w:pgNumType w:fmt="decimal"/>
          <w:formProt w:val="false"/>
          <w:textDirection w:val="lrTb"/>
          <w:docGrid w:type="default" w:linePitch="100" w:charSpace="0"/>
        </w:sectPr>
        <w:pStyle w:val="Normal"/>
        <w:spacing w:lineRule="auto" w:line="235"/>
        <w:rPr>
          <w:rFonts w:ascii="Calibri" w:hAnsi="Calibri" w:cs="Calibri" w:asciiTheme="minorHAnsi" w:cstheme="minorHAnsi" w:hAnsiTheme="minorHAnsi"/>
          <w:sz w:val="17"/>
        </w:rPr>
      </w:pPr>
      <w:r>
        <w:rPr>
          <w:rFonts w:cs="Calibri" w:cstheme="minorHAnsi" w:ascii="Calibri" w:hAnsi="Calibri"/>
          <w:sz w:val="17"/>
        </w:rPr>
      </w:r>
    </w:p>
    <w:tbl>
      <w:tblPr>
        <w:tblStyle w:val="TableNormal"/>
        <w:tblW w:w="13745" w:type="dxa"/>
        <w:jc w:val="center"/>
        <w:tblInd w:w="0" w:type="dxa"/>
        <w:tblLayout w:type="fixed"/>
        <w:tblCellMar>
          <w:top w:w="0" w:type="dxa"/>
          <w:start w:w="5" w:type="dxa"/>
          <w:bottom w:w="0" w:type="dxa"/>
          <w:end w:w="7" w:type="dxa"/>
        </w:tblCellMar>
        <w:tblLook w:firstRow="1" w:noVBand="0" w:lastRow="1" w:firstColumn="1" w:lastColumn="1" w:noHBand="0" w:val="01e0"/>
      </w:tblPr>
      <w:tblGrid>
        <w:gridCol w:w="624"/>
        <w:gridCol w:w="1781"/>
        <w:gridCol w:w="2268"/>
        <w:gridCol w:w="2268"/>
        <w:gridCol w:w="2268"/>
        <w:gridCol w:w="2269"/>
        <w:gridCol w:w="2266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6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0"/>
              <w:jc w:val="center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start w:val="single" w:sz="6" w:space="0" w:color="BCBEC0"/>
              <w:bottom w:val="single" w:sz="6" w:space="0" w:color="BCBEC0"/>
              <w:end w:val="single" w:sz="6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613" w:end="613"/>
              <w:jc w:val="center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4" w:space="0" w:color="BCBEC0"/>
              <w:start w:val="single" w:sz="6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92" w:after="0"/>
              <w:ind w:hanging="0" w:start="4975" w:end="4975"/>
              <w:jc w:val="center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top w:val="single" w:sz="6" w:space="0" w:color="BCBEC0"/>
              <w:start w:val="single" w:sz="4" w:space="0" w:color="BCBEC0"/>
              <w:bottom w:val="single" w:sz="6" w:space="0" w:color="BCBEC0"/>
              <w:end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kern w:val="0"/>
                <w:sz w:val="2"/>
                <w:szCs w:val="2"/>
                <w:lang w:eastAsia="en-US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vMerge w:val="continue"/>
            <w:tcBorders>
              <w:top w:val="single" w:sz="6" w:space="0" w:color="BCBEC0"/>
              <w:start w:val="single" w:sz="6" w:space="0" w:color="BCBEC0"/>
              <w:bottom w:val="single" w:sz="6" w:space="0" w:color="BCBEC0"/>
              <w:end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kern w:val="0"/>
                <w:sz w:val="2"/>
                <w:szCs w:val="2"/>
                <w:lang w:eastAsia="en-US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6" w:space="0" w:color="BCBEC0"/>
              <w:start w:val="single" w:sz="6" w:space="0" w:color="BCBEC0"/>
              <w:bottom w:val="single" w:sz="6" w:space="0" w:color="BCBEC0"/>
              <w:end w:val="single" w:sz="6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34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6" w:space="0" w:color="BCBEC0"/>
              <w:start w:val="single" w:sz="6" w:space="0" w:color="BCBEC0"/>
              <w:bottom w:val="single" w:sz="6" w:space="0" w:color="BCBEC0"/>
              <w:end w:val="single" w:sz="6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418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6" w:space="0" w:color="BCBEC0"/>
              <w:start w:val="single" w:sz="6" w:space="0" w:color="BCBEC0"/>
              <w:bottom w:val="single" w:sz="6" w:space="0" w:color="BCBEC0"/>
              <w:end w:val="single" w:sz="6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656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9" w:type="dxa"/>
            <w:tcBorders>
              <w:top w:val="single" w:sz="6" w:space="0" w:color="BCBEC0"/>
              <w:start w:val="single" w:sz="6" w:space="0" w:color="BCBEC0"/>
              <w:bottom w:val="single" w:sz="6" w:space="0" w:color="BCBEC0"/>
              <w:end w:val="single" w:sz="6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65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6" w:type="dxa"/>
            <w:tcBorders>
              <w:top w:val="single" w:sz="6" w:space="0" w:color="BCBEC0"/>
              <w:start w:val="single" w:sz="6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576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3009" w:hRule="atLeast"/>
        </w:trPr>
        <w:tc>
          <w:tcPr>
            <w:tcW w:w="624" w:type="dxa"/>
            <w:tcBorders>
              <w:top w:val="single" w:sz="6" w:space="0" w:color="BCBEC0"/>
              <w:start w:val="single" w:sz="4" w:space="0" w:color="BCBEC0"/>
              <w:bottom w:val="single" w:sz="6" w:space="0" w:color="BCBEC0"/>
              <w:end w:val="single" w:sz="6" w:space="0" w:color="BCBEC0"/>
            </w:tcBorders>
            <w:shd w:color="auto" w:fill="auto" w:val="clear"/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9" w:after="0"/>
              <w:ind w:hanging="0" w:start="0"/>
              <w:jc w:val="center"/>
              <w:rPr>
                <w:rFonts w:ascii="Calibri" w:hAnsi="Calibri" w:cs="Calibri" w:asciiTheme="minorHAnsi" w:cstheme="minorHAnsi" w:hAnsiTheme="minorHAnsi"/>
                <w:b/>
                <w:sz w:val="15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7"/>
                <w:szCs w:val="22"/>
                <w:lang w:eastAsia="en-US" w:bidi="ar-SA"/>
              </w:rPr>
              <w:t>III. Wirusy, bakterie i grzyby</w:t>
            </w:r>
          </w:p>
        </w:tc>
        <w:tc>
          <w:tcPr>
            <w:tcW w:w="1781" w:type="dxa"/>
            <w:tcBorders>
              <w:top w:val="single" w:sz="6" w:space="0" w:color="BCBEC0"/>
              <w:start w:val="single" w:sz="6" w:space="0" w:color="BCBEC0"/>
              <w:bottom w:val="single" w:sz="6" w:space="0" w:color="BCBEC0"/>
              <w:end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exact" w:line="206" w:before="67" w:after="0"/>
              <w:ind w:start="56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13. Budowa</w:t>
            </w:r>
          </w:p>
          <w:p>
            <w:pPr>
              <w:pStyle w:val="Normal"/>
              <w:widowControl w:val="false"/>
              <w:suppressAutoHyphens w:val="true"/>
              <w:spacing w:lineRule="auto" w:line="235" w:before="1" w:after="0"/>
              <w:ind w:start="314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i różnorodność grzybów. Porosty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170" w:start="221" w:end="193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8" w:type="dxa"/>
            <w:tcBorders>
              <w:top w:val="single" w:sz="6" w:space="0" w:color="BCBEC0"/>
              <w:start w:val="single" w:sz="6" w:space="0" w:color="BCBEC0"/>
              <w:bottom w:val="single" w:sz="6" w:space="0" w:color="BCBEC0"/>
              <w:end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start="226" w:end="187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środowiska życia grzybów i porostów</w:t>
            </w:r>
          </w:p>
          <w:p>
            <w:pPr>
              <w:pStyle w:val="Normal"/>
              <w:widowControl w:val="false"/>
              <w:numPr>
                <w:ilvl w:val="0"/>
                <w:numId w:val="3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6" w:end="23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podaje przykłady grzybów i porostów</w:t>
            </w:r>
          </w:p>
          <w:p>
            <w:pPr>
              <w:pStyle w:val="Normal"/>
              <w:widowControl w:val="false"/>
              <w:numPr>
                <w:ilvl w:val="0"/>
                <w:numId w:val="3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1" w:after="0"/>
              <w:ind w:hanging="170" w:start="226" w:end="313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na podstawie okazu naturalnego lub ilustracji opisuje budowę grzybów</w:t>
            </w:r>
          </w:p>
          <w:p>
            <w:pPr>
              <w:pStyle w:val="Normal"/>
              <w:widowControl w:val="false"/>
              <w:numPr>
                <w:ilvl w:val="0"/>
                <w:numId w:val="36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0" w:after="0"/>
              <w:ind w:hanging="170" w:start="226" w:end="23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rozpoznaje porosty wśród innych organizmów</w:t>
            </w:r>
          </w:p>
        </w:tc>
        <w:tc>
          <w:tcPr>
            <w:tcW w:w="2268" w:type="dxa"/>
            <w:tcBorders>
              <w:top w:val="single" w:sz="6" w:space="0" w:color="BCBEC0"/>
              <w:start w:val="single" w:sz="6" w:space="0" w:color="BCBEC0"/>
              <w:bottom w:val="single" w:sz="6" w:space="0" w:color="BCBEC0"/>
              <w:end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start="226" w:end="77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cechy pozwalające zaklasyfikować organizm do grzybów</w:t>
            </w:r>
          </w:p>
          <w:p>
            <w:pPr>
              <w:pStyle w:val="Normal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6" w:end="138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omawia wskazaną czynność życiową grzybów</w:t>
            </w:r>
          </w:p>
          <w:p>
            <w:pPr>
              <w:pStyle w:val="Normal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1" w:after="0"/>
              <w:ind w:hanging="170" w:start="226" w:end="17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podaje przykłady znaczenia grzybów              w przyrodzie i dla człowieka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0" w:after="0"/>
              <w:ind w:hanging="0" w:start="221" w:end="27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8" w:type="dxa"/>
            <w:tcBorders>
              <w:top w:val="single" w:sz="6" w:space="0" w:color="BCBEC0"/>
              <w:start w:val="single" w:sz="6" w:space="0" w:color="BCBEC0"/>
              <w:bottom w:val="single" w:sz="6" w:space="0" w:color="BCBEC0"/>
              <w:end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start="226" w:end="54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wykazuje znaczenie grzybów w przyrodzie i dla człowieka</w:t>
            </w:r>
          </w:p>
          <w:p>
            <w:pPr>
              <w:pStyle w:val="Normal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6" w:end="273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analizuje różnorodność budowy grzybów</w:t>
            </w:r>
          </w:p>
          <w:p>
            <w:pPr>
              <w:pStyle w:val="Normal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1" w:after="0"/>
              <w:ind w:hanging="170" w:start="226" w:end="54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 sposoby oddychania i odżywiania się grzybów</w:t>
            </w:r>
          </w:p>
          <w:p>
            <w:pPr>
              <w:pStyle w:val="Normal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wykazuje, że porosty są zbudowane z grzybni i glonu</w:t>
            </w:r>
          </w:p>
        </w:tc>
        <w:tc>
          <w:tcPr>
            <w:tcW w:w="2269" w:type="dxa"/>
            <w:tcBorders>
              <w:top w:val="single" w:sz="6" w:space="0" w:color="BCBEC0"/>
              <w:start w:val="single" w:sz="6" w:space="0" w:color="BCBEC0"/>
              <w:bottom w:val="single" w:sz="6" w:space="0" w:color="BCBEC0"/>
              <w:end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start="221" w:end="216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określa znaczenie poszczególnych komponentów w budowie plechy porostu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3" w:after="0"/>
              <w:ind w:hanging="170" w:start="221" w:end="344"/>
              <w:jc w:val="both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rozpoznaje różne formy morfologiczne porostów i podaje ich nazwy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1" w:end="88"/>
              <w:jc w:val="start"/>
              <w:rPr>
                <w:rFonts w:ascii="Calibri" w:hAnsi="Calibri" w:cs="Calibri" w:asciiTheme="minorHAnsi" w:cstheme="minorHAnsi" w:hAnsiTheme="minorHAnsi"/>
                <w:i/>
                <w:i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opisuje czynności życiowe grzybów – odżywianie, oddychanie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end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sz w:val="22"/>
              </w:rPr>
            </w:r>
          </w:p>
        </w:tc>
        <w:tc>
          <w:tcPr>
            <w:tcW w:w="2266" w:type="dxa"/>
            <w:tcBorders>
              <w:top w:val="single" w:sz="6" w:space="0" w:color="BCBEC0"/>
              <w:start w:val="single" w:sz="6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start="221" w:end="201"/>
              <w:jc w:val="start"/>
              <w:rPr>
                <w:rFonts w:ascii="Calibri" w:hAnsi="Calibri" w:cs="Calibri" w:asciiTheme="minorHAnsi" w:cstheme="minorHAnsi" w:hAnsiTheme="minorHAnsi"/>
                <w:spacing w:val="2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spacing w:val="2"/>
                <w:kern w:val="0"/>
                <w:sz w:val="17"/>
                <w:szCs w:val="22"/>
                <w:lang w:eastAsia="en-US" w:bidi="ar-SA"/>
              </w:rPr>
              <w:t xml:space="preserve">analizuje znaczenie grzybów w przyrodzie </w:t>
              <w:br/>
              <w:t>i dla człowieka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1" w:after="0"/>
              <w:ind w:hanging="170" w:start="226" w:end="201"/>
              <w:jc w:val="start"/>
              <w:rPr>
                <w:rFonts w:ascii="Calibri" w:hAnsi="Calibri" w:cs="Calibri" w:asciiTheme="minorHAnsi" w:cstheme="minorHAnsi" w:hAnsiTheme="minorHAnsi"/>
                <w:spacing w:val="2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spacing w:val="2"/>
                <w:kern w:val="0"/>
                <w:sz w:val="17"/>
                <w:szCs w:val="22"/>
                <w:lang w:eastAsia="en-US" w:bidi="ar-SA"/>
              </w:rPr>
              <w:t xml:space="preserve">proponuje sposób </w:t>
              <w:br/>
              <w:t xml:space="preserve">badania czystości powietrza na podstawie informacji o wrażliwości porostów </w:t>
              <w:br/>
              <w:t>na zanieczyszczenia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1" w:end="20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spacing w:val="2"/>
                <w:kern w:val="0"/>
                <w:sz w:val="17"/>
                <w:szCs w:val="22"/>
                <w:lang w:eastAsia="en-US" w:bidi="ar-SA"/>
              </w:rPr>
              <w:t>wyjaśnia, dlaczego porosty określa się mianem organizmów pionierskich</w:t>
            </w:r>
          </w:p>
        </w:tc>
      </w:tr>
      <w:tr>
        <w:trPr>
          <w:trHeight w:val="2020" w:hRule="atLeast"/>
        </w:trPr>
        <w:tc>
          <w:tcPr>
            <w:tcW w:w="624" w:type="dxa"/>
            <w:tcBorders>
              <w:top w:val="single" w:sz="6" w:space="0" w:color="BCBEC0"/>
              <w:start w:val="single" w:sz="4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sz w:val="2"/>
                <w:szCs w:val="2"/>
              </w:rPr>
            </w:r>
          </w:p>
        </w:tc>
        <w:tc>
          <w:tcPr>
            <w:tcW w:w="1781" w:type="dxa"/>
            <w:tcBorders>
              <w:top w:val="single" w:sz="6" w:space="0" w:color="BCBEC0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35" w:before="65" w:after="0"/>
              <w:ind w:hanging="258" w:start="313" w:end="198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15. Korzeń – organ podziemny rośliny</w:t>
            </w:r>
          </w:p>
          <w:p>
            <w:pPr>
              <w:pStyle w:val="Normal"/>
              <w:widowControl w:val="false"/>
              <w:suppressAutoHyphens w:val="true"/>
              <w:spacing w:before="62" w:after="0"/>
              <w:ind w:start="56"/>
              <w:jc w:val="start"/>
              <w:rPr>
                <w:rFonts w:ascii="Calibri" w:hAnsi="Calibri" w:cs="Calibri" w:asciiTheme="minorHAnsi" w:cstheme="minorHAnsi" w:hAnsiTheme="minorHAnsi"/>
                <w:color w:val="231F20"/>
                <w:sz w:val="17"/>
              </w:rPr>
            </w:pPr>
            <w:r>
              <w:rPr>
                <w:rFonts w:cs="Calibri" w:cstheme="minorHAnsi" w:ascii="Calibri" w:hAnsi="Calibri"/>
                <w:color w:val="231F20"/>
                <w:sz w:val="17"/>
              </w:rPr>
            </w:r>
          </w:p>
        </w:tc>
        <w:tc>
          <w:tcPr>
            <w:tcW w:w="2268" w:type="dxa"/>
            <w:tcBorders>
              <w:top w:val="single" w:sz="6" w:space="0" w:color="BCBEC0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65" w:after="0"/>
              <w:ind w:hanging="170" w:start="221" w:end="458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podstawowe funkcje korzenia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0" w:after="0"/>
              <w:ind w:hanging="170" w:start="221" w:end="273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rozpoznaje systemy korzeniowe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</w:tabs>
              <w:suppressAutoHyphens w:val="true"/>
              <w:spacing w:lineRule="exact" w:line="206" w:before="62" w:after="0"/>
              <w:jc w:val="start"/>
              <w:rPr>
                <w:rFonts w:ascii="Calibri" w:hAnsi="Calibri" w:cs="Calibri" w:asciiTheme="minorHAnsi" w:cstheme="minorHAnsi" w:hAnsiTheme="minorHAnsi"/>
                <w:color w:val="231F20"/>
                <w:sz w:val="17"/>
              </w:rPr>
            </w:pPr>
            <w:r>
              <w:rPr>
                <w:rFonts w:cs="Calibri" w:cstheme="minorHAnsi" w:ascii="Calibri" w:hAnsi="Calibri"/>
                <w:color w:val="231F20"/>
                <w:sz w:val="17"/>
              </w:rPr>
            </w:r>
          </w:p>
        </w:tc>
        <w:tc>
          <w:tcPr>
            <w:tcW w:w="2268" w:type="dxa"/>
            <w:tcBorders>
              <w:top w:val="single" w:sz="6" w:space="0" w:color="BCBEC0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1" w:end="194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omawia budowę zewnętrzną korzenia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1" w:end="194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wskazuje  poszczególne strefy</w:t>
            </w:r>
          </w:p>
        </w:tc>
        <w:tc>
          <w:tcPr>
            <w:tcW w:w="2268" w:type="dxa"/>
            <w:tcBorders>
              <w:top w:val="single" w:sz="6" w:space="0" w:color="BCBEC0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21" w:end="13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wykazuje związek korzenia</w:t>
            </w:r>
          </w:p>
          <w:p>
            <w:pPr>
              <w:pStyle w:val="Normal"/>
              <w:widowControl w:val="false"/>
              <w:suppressAutoHyphens w:val="true"/>
              <w:spacing w:lineRule="auto" w:line="235" w:before="2" w:after="0"/>
              <w:ind w:start="225" w:end="148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adaptacją do środowiska zajmowanego przez roślinę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0" w:after="0"/>
              <w:ind w:hanging="170" w:start="217" w:end="69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opisuje przyrost korzenia </w:t>
              <w:br/>
              <w:t>na długość</w:t>
            </w:r>
          </w:p>
        </w:tc>
        <w:tc>
          <w:tcPr>
            <w:tcW w:w="2269" w:type="dxa"/>
            <w:tcBorders>
              <w:top w:val="single" w:sz="6" w:space="0" w:color="BCBEC0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0" w:after="0"/>
              <w:ind w:hanging="170" w:start="225" w:end="188"/>
              <w:jc w:val="start"/>
              <w:rPr>
                <w:rFonts w:ascii="Calibri" w:hAnsi="Calibri" w:cs="Calibri" w:asciiTheme="minorHAnsi" w:cstheme="minorHAnsi" w:hAnsiTheme="minorHAnsi"/>
                <w:color w:val="231F20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wykazuje przystosowania korzenia do  pobierania wody przez roślin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0" w:after="0"/>
              <w:ind w:hanging="170" w:start="225" w:end="188"/>
              <w:jc w:val="start"/>
              <w:rPr>
                <w:rFonts w:ascii="Calibri" w:hAnsi="Calibri" w:cs="Calibri" w:asciiTheme="minorHAnsi" w:cstheme="minorHAnsi" w:hAnsiTheme="minorHAnsi"/>
                <w:color w:val="231F20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omawia teoretycznie doświadczenie świadczące o przewodzeniu wody             z korzenia w górę rośliny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</w:tabs>
              <w:suppressAutoHyphens w:val="true"/>
              <w:spacing w:lineRule="exact" w:line="206" w:before="0" w:after="0"/>
              <w:ind w:start="22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6" w:type="dxa"/>
            <w:tcBorders>
              <w:top w:val="single" w:sz="6" w:space="0" w:color="BCBEC0"/>
              <w:start w:val="single" w:sz="6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65" w:after="0"/>
              <w:ind w:hanging="170" w:start="221" w:end="11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projektuje doświadczenie świadczące o przewodzeniu wody z korzenia w górę rośliny</w:t>
            </w:r>
          </w:p>
        </w:tc>
      </w:tr>
    </w:tbl>
    <w:p>
      <w:pPr>
        <w:sectPr>
          <w:footerReference w:type="default" r:id="rId3"/>
          <w:type w:val="nextPage"/>
          <w:pgSz w:orient="landscape" w:w="15600" w:h="11630"/>
          <w:pgMar w:left="720" w:right="720" w:gutter="0" w:header="0" w:top="720" w:footer="708" w:bottom="765"/>
          <w:pgNumType w:fmt="decimal"/>
          <w:formProt w:val="false"/>
          <w:textDirection w:val="lrTb"/>
          <w:docGrid w:type="default" w:linePitch="299" w:charSpace="4096"/>
        </w:sectPr>
        <w:pStyle w:val="Normal"/>
        <w:spacing w:lineRule="auto" w:line="235"/>
        <w:rPr>
          <w:rFonts w:ascii="Calibri" w:hAnsi="Calibri" w:cs="Calibri" w:asciiTheme="minorHAnsi" w:cstheme="minorHAnsi" w:hAnsiTheme="minorHAnsi"/>
          <w:sz w:val="17"/>
        </w:rPr>
      </w:pPr>
      <w:r>
        <w:rPr>
          <w:rFonts w:cs="Calibri" w:cstheme="minorHAnsi" w:ascii="Calibri" w:hAnsi="Calibri"/>
          <w:sz w:val="17"/>
        </w:rPr>
      </w:r>
    </w:p>
    <w:tbl>
      <w:tblPr>
        <w:tblStyle w:val="TableNormal"/>
        <w:tblW w:w="13745" w:type="dxa"/>
        <w:jc w:val="start"/>
        <w:tblInd w:w="11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0" w:lastRow="1" w:firstColumn="1" w:lastColumn="1" w:noHBand="0" w:val="01e0"/>
      </w:tblPr>
      <w:tblGrid>
        <w:gridCol w:w="624"/>
        <w:gridCol w:w="1781"/>
        <w:gridCol w:w="2268"/>
        <w:gridCol w:w="2268"/>
        <w:gridCol w:w="2268"/>
        <w:gridCol w:w="2269"/>
        <w:gridCol w:w="2266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0"/>
              <w:jc w:val="center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613" w:end="613"/>
              <w:jc w:val="center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92" w:after="0"/>
              <w:ind w:hanging="0" w:start="4975" w:end="4975"/>
              <w:jc w:val="center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kern w:val="0"/>
                <w:sz w:val="2"/>
                <w:szCs w:val="2"/>
                <w:lang w:eastAsia="en-US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kern w:val="0"/>
                <w:sz w:val="2"/>
                <w:szCs w:val="2"/>
                <w:lang w:eastAsia="en-US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34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418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656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65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576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1586" w:hRule="atLeast"/>
        </w:trPr>
        <w:tc>
          <w:tcPr>
            <w:tcW w:w="624" w:type="dxa"/>
            <w:vMerge w:val="restart"/>
            <w:tcBorders>
              <w:top w:val="single" w:sz="8" w:space="0" w:color="FDB515"/>
              <w:start w:val="single" w:sz="6" w:space="0" w:color="BCBEC0"/>
              <w:bottom w:val="single" w:sz="6" w:space="0" w:color="BCBEC0"/>
              <w:end w:val="single" w:sz="6" w:space="0" w:color="BCBEC0"/>
            </w:tcBorders>
            <w:shd w:color="auto" w:fill="auto" w:val="clear"/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hanging="0" w:start="0"/>
              <w:jc w:val="center"/>
              <w:rPr>
                <w:rFonts w:ascii="Calibri" w:hAnsi="Calibri" w:cs="Calibri" w:asciiTheme="minorHAnsi" w:cstheme="minorHAnsi" w:hAnsiTheme="minorHAnsi"/>
                <w:b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7"/>
                <w:szCs w:val="22"/>
                <w:lang w:eastAsia="en-US" w:bidi="ar-SA"/>
              </w:rPr>
              <w:t>IV. Tkanki i organy roślinne</w:t>
            </w:r>
          </w:p>
        </w:tc>
        <w:tc>
          <w:tcPr>
            <w:tcW w:w="1781" w:type="dxa"/>
            <w:tcBorders>
              <w:top w:val="single" w:sz="8" w:space="0" w:color="FDB515"/>
              <w:start w:val="single" w:sz="6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exact" w:line="206" w:before="62" w:after="0"/>
              <w:ind w:start="5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16. Pęd. Budowa</w:t>
            </w:r>
          </w:p>
          <w:p>
            <w:pPr>
              <w:pStyle w:val="Normal"/>
              <w:widowControl w:val="false"/>
              <w:suppressAutoHyphens w:val="true"/>
              <w:spacing w:lineRule="exact" w:line="206" w:before="0" w:after="0"/>
              <w:ind w:start="313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i funkcje łodygi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8" w:start="306" w:end="44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21" w:end="9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nazwy elementów budowy zewnętrznej łodygi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exact" w:line="206" w:before="0" w:after="0"/>
              <w:ind w:hanging="170" w:start="221" w:end="9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funkcje łodygi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0" w:start="51" w:end="12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21" w:end="383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 różnicę między pędem a łodygą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start="221" w:end="96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wskazuje części pędu roślin zielnych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7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21" w:end="146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omawia funkcje poszczególnych elementów pędu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start="221" w:end="154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9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21" w:end="9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na żywym okazie </w:t>
              <w:br/>
              <w:t xml:space="preserve">lub ilustracji wskazuje </w:t>
              <w:br/>
              <w:t>i omawia części łodygi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21" w:end="9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omawia budowę  zewnętrzną łodygi różnych form morfologicznych  (roślin zielnych, krzewów, drzew)</w:t>
            </w:r>
          </w:p>
        </w:tc>
        <w:tc>
          <w:tcPr>
            <w:tcW w:w="2266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21" w:end="146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na żywych  okazach  </w:t>
              <w:br/>
              <w:t>lub ilustracji wykazuje podobieństwa i różnice   przystosowania łodygi różnych form morfologicznych (roślin zielnych, krzewów, drzew) do pełnionych funkcji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sz w:val="22"/>
              </w:rPr>
            </w:r>
          </w:p>
        </w:tc>
      </w:tr>
      <w:tr>
        <w:trPr>
          <w:trHeight w:val="1406" w:hRule="atLeast"/>
        </w:trPr>
        <w:tc>
          <w:tcPr>
            <w:tcW w:w="624" w:type="dxa"/>
            <w:vMerge w:val="continue"/>
            <w:tcBorders>
              <w:top w:val="single" w:sz="4" w:space="0" w:color="BCBEC0"/>
              <w:start w:val="single" w:sz="6" w:space="0" w:color="BCBEC0"/>
              <w:bottom w:val="single" w:sz="6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sz w:val="2"/>
                <w:szCs w:val="2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35" w:before="65" w:after="0"/>
              <w:ind w:hanging="258" w:start="312" w:end="284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17. Liść – wytwórnia pokarmu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8" w:start="306" w:end="23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start="218" w:end="37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rozpoznaje elementy budowy liścia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1" w:after="0"/>
              <w:ind w:start="218" w:end="8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exact" w:line="206" w:before="62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funkcje liści</w:t>
            </w:r>
          </w:p>
          <w:p>
            <w:pPr>
              <w:pStyle w:val="Normal"/>
              <w:widowControl w:val="false"/>
              <w:suppressAutoHyphens w:val="true"/>
              <w:spacing w:lineRule="auto" w:line="235" w:before="3" w:after="0"/>
              <w:ind w:start="225" w:end="309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225" w:leader="none"/>
                <w:tab w:val="left" w:pos="1598" w:leader="none"/>
              </w:tabs>
              <w:suppressAutoHyphens w:val="true"/>
              <w:spacing w:lineRule="auto" w:line="235" w:before="65" w:after="0"/>
              <w:ind w:hanging="170" w:start="220" w:end="243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rozpoznaje liście pojedyncze i liście złożone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exact" w:line="206" w:before="62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wykazuje związek budowy        z funkcjami  liści</w:t>
            </w:r>
          </w:p>
          <w:p>
            <w:pPr>
              <w:pStyle w:val="TableParagraph"/>
              <w:widowControl w:val="false"/>
              <w:suppressAutoHyphens w:val="true"/>
              <w:spacing w:lineRule="exact" w:line="204" w:before="0" w:after="0"/>
              <w:ind w:hanging="0" w:start="22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5" w:leader="none"/>
              </w:tabs>
              <w:suppressAutoHyphens w:val="true"/>
              <w:spacing w:lineRule="auto" w:line="235" w:before="65" w:after="0"/>
              <w:ind w:hanging="0" w:start="0" w:end="5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na materiale zielnikowym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5" w:leader="none"/>
              </w:tabs>
              <w:suppressAutoHyphens w:val="true"/>
              <w:spacing w:lineRule="auto" w:line="235" w:before="65" w:after="0"/>
              <w:ind w:end="50"/>
              <w:jc w:val="start"/>
              <w:rPr>
                <w:rFonts w:ascii="Calibri" w:hAnsi="Calibri" w:cs="Calibri" w:asciiTheme="minorHAnsi" w:cstheme="minorHAnsi" w:hAnsiTheme="minorHAnsi"/>
                <w:color w:val="231F20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       </w:t>
            </w: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lub  ilustracji wykazuje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5" w:leader="none"/>
              </w:tabs>
              <w:suppressAutoHyphens w:val="true"/>
              <w:spacing w:lineRule="auto" w:line="235" w:before="65" w:after="0"/>
              <w:ind w:end="5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      </w:t>
            </w: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różnorodność  budowy liści</w:t>
            </w:r>
          </w:p>
        </w:tc>
      </w:tr>
      <w:tr>
        <w:trPr>
          <w:trHeight w:val="2773" w:hRule="atLeast"/>
        </w:trPr>
        <w:tc>
          <w:tcPr>
            <w:tcW w:w="624" w:type="dxa"/>
            <w:vMerge w:val="restart"/>
            <w:tcBorders>
              <w:top w:val="single" w:sz="6" w:space="0" w:color="BCBEC0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7"/>
                <w:szCs w:val="22"/>
                <w:lang w:eastAsia="en-US" w:bidi="ar-SA"/>
              </w:rPr>
              <w:t>V. Różnorodność i jedność roślin</w:t>
            </w:r>
          </w:p>
        </w:tc>
        <w:tc>
          <w:tcPr>
            <w:tcW w:w="1781" w:type="dxa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7" w:after="0"/>
              <w:ind w:start="56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18. Mchy</w:t>
            </w:r>
          </w:p>
          <w:p>
            <w:pPr>
              <w:pStyle w:val="BodyText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35" w:before="65" w:after="0"/>
              <w:ind w:hanging="258" w:start="312" w:end="284"/>
              <w:jc w:val="start"/>
              <w:rPr>
                <w:rFonts w:ascii="Calibri" w:hAnsi="Calibri" w:cs="Calibri" w:asciiTheme="minorHAnsi" w:cstheme="minorHAnsi" w:hAnsiTheme="minorHAnsi"/>
                <w:color w:val="231F20"/>
                <w:sz w:val="17"/>
              </w:rPr>
            </w:pPr>
            <w:r>
              <w:rPr>
                <w:rFonts w:cs="Calibri" w:cstheme="minorHAnsi" w:ascii="Calibri" w:hAnsi="Calibri"/>
                <w:color w:val="231F20"/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start="218" w:end="139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na podstawie ilustracji </w:t>
              <w:br/>
              <w:t>lub żywych okazów rozpoznaje mchy wśród innych roślin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start="218" w:end="50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miejsca występowania mchów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7" w:leader="none"/>
                <w:tab w:val="left" w:pos="1595" w:leader="none"/>
              </w:tabs>
              <w:suppressAutoHyphens w:val="true"/>
              <w:spacing w:lineRule="auto" w:line="235" w:before="70" w:after="0"/>
              <w:ind w:hanging="170" w:start="218" w:end="23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wskazuje nazwy elementów budowy mchów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18" w:end="177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pomocą nauczyciela przeprowadza doświadczenie wykazujące zdolność wchłaniania wody przez mchy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5" w:leader="none"/>
              </w:tabs>
              <w:suppressAutoHyphens w:val="true"/>
              <w:spacing w:lineRule="auto" w:line="235" w:before="65" w:after="0"/>
              <w:ind w:end="296"/>
              <w:jc w:val="start"/>
              <w:rPr>
                <w:rFonts w:ascii="Calibri" w:hAnsi="Calibri" w:cs="Calibri" w:asciiTheme="minorHAnsi" w:cstheme="minorHAnsi" w:hAnsiTheme="minorHAnsi"/>
                <w:color w:val="231F20"/>
                <w:sz w:val="17"/>
              </w:rPr>
            </w:pPr>
            <w:r>
              <w:rPr>
                <w:rFonts w:cs="Calibri" w:cstheme="minorHAnsi" w:ascii="Calibri" w:hAnsi="Calibri"/>
                <w:color w:val="231F20"/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0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start="226" w:end="139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na podstawie ilustracji </w:t>
              <w:br/>
              <w:t>lub żywych okazów rozpoznaje elementy budowy mchów</w:t>
            </w:r>
          </w:p>
          <w:p>
            <w:pPr>
              <w:pStyle w:val="Normal"/>
              <w:widowControl w:val="false"/>
              <w:suppressAutoHyphens w:val="true"/>
              <w:spacing w:lineRule="exact" w:line="205" w:before="0" w:after="0"/>
              <w:ind w:start="226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i wyjaśnia ich funkcje</w:t>
            </w:r>
          </w:p>
          <w:p>
            <w:pPr>
              <w:pStyle w:val="Normal"/>
              <w:widowControl w:val="false"/>
              <w:numPr>
                <w:ilvl w:val="0"/>
                <w:numId w:val="39"/>
              </w:numPr>
              <w:tabs>
                <w:tab w:val="clear" w:pos="720"/>
                <w:tab w:val="left" w:pos="225" w:leader="none"/>
              </w:tabs>
              <w:suppressAutoHyphens w:val="true"/>
              <w:spacing w:lineRule="auto" w:line="235" w:before="1" w:after="0"/>
              <w:ind w:hanging="170" w:start="226" w:end="177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niewielką pomocą nauczyciela przeprowadza doświadczenie wykazujące zdolność wchłaniania wody przez mchy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start="220" w:end="98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wyjaśnia, dlaczego mchy uważane są za najprostsze rośliny lądowe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225" w:leader="none"/>
              </w:tabs>
              <w:suppressAutoHyphens w:val="true"/>
              <w:spacing w:lineRule="auto" w:line="235" w:before="3" w:after="0"/>
              <w:ind w:hanging="170" w:start="220" w:end="10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przeprowadza według opisu doświadczenie wykazujące zdolność wchłaniania wody przez mchy</w:t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samodzielnie planuje </w:t>
              <w:br/>
              <w:t>i przeprowadza</w:t>
            </w:r>
          </w:p>
          <w:p>
            <w:pPr>
              <w:pStyle w:val="Normal"/>
              <w:widowControl w:val="false"/>
              <w:suppressAutoHyphens w:val="true"/>
              <w:spacing w:lineRule="auto" w:line="235" w:before="2" w:after="0"/>
              <w:ind w:start="226" w:end="177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doświadczenie wykazujące zdolność wchłaniania wody przez mchy</w:t>
            </w:r>
          </w:p>
          <w:p>
            <w:pPr>
              <w:pStyle w:val="Normal"/>
              <w:widowControl w:val="false"/>
              <w:suppressAutoHyphens w:val="true"/>
              <w:spacing w:lineRule="auto" w:line="235" w:before="1" w:after="0"/>
              <w:ind w:start="226" w:end="54"/>
              <w:jc w:val="start"/>
              <w:rPr>
                <w:rFonts w:ascii="Calibri" w:hAnsi="Calibri" w:cs="Calibri" w:asciiTheme="minorHAnsi" w:cstheme="minorHAnsi" w:hAnsiTheme="minorHAnsi"/>
                <w:color w:val="231F20"/>
                <w:sz w:val="17"/>
              </w:rPr>
            </w:pPr>
            <w:r>
              <w:rPr>
                <w:rFonts w:cs="Calibri" w:cstheme="minorHAnsi" w:ascii="Calibri" w:hAnsi="Calibri"/>
                <w:color w:val="231F20"/>
                <w:sz w:val="17"/>
              </w:rPr>
            </w:r>
          </w:p>
        </w:tc>
      </w:tr>
      <w:tr>
        <w:trPr>
          <w:trHeight w:val="1256" w:hRule="atLeast"/>
        </w:trPr>
        <w:tc>
          <w:tcPr>
            <w:tcW w:w="624" w:type="dxa"/>
            <w:vMerge w:val="continue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sz w:val="2"/>
                <w:szCs w:val="2"/>
              </w:rPr>
            </w:r>
          </w:p>
        </w:tc>
        <w:tc>
          <w:tcPr>
            <w:tcW w:w="1781" w:type="dxa"/>
            <w:tcBorders>
              <w:top w:val="single" w:sz="4" w:space="0" w:color="BCBEC0"/>
              <w:start w:val="single" w:sz="6" w:space="0" w:color="BCBEC0"/>
              <w:bottom w:val="single" w:sz="6" w:space="0" w:color="BCBEC0"/>
              <w:end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2" w:after="0"/>
              <w:ind w:start="56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19. Paprociowe</w:t>
            </w:r>
          </w:p>
          <w:p>
            <w:pPr>
              <w:pStyle w:val="Normal"/>
              <w:widowControl w:val="false"/>
              <w:suppressAutoHyphens w:val="true"/>
              <w:spacing w:before="67" w:after="0"/>
              <w:ind w:start="56"/>
              <w:jc w:val="start"/>
              <w:rPr>
                <w:rFonts w:ascii="Calibri" w:hAnsi="Calibri" w:cs="Calibri" w:asciiTheme="minorHAnsi" w:cstheme="minorHAnsi" w:hAnsiTheme="minorHAnsi"/>
                <w:color w:val="231F20"/>
                <w:sz w:val="17"/>
              </w:rPr>
            </w:pPr>
            <w:r>
              <w:rPr>
                <w:rFonts w:cs="Calibri" w:cstheme="minorHAnsi" w:ascii="Calibri" w:hAnsi="Calibri"/>
                <w:color w:val="231F20"/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6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18" w:end="14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na podstawie ilustracji </w:t>
              <w:br/>
              <w:t>lub żywych okazów rozpoznaje paprocie  wśród innych roślin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end="139"/>
              <w:jc w:val="start"/>
              <w:rPr>
                <w:rFonts w:ascii="Calibri" w:hAnsi="Calibri" w:cs="Calibri" w:asciiTheme="minorHAnsi" w:cstheme="minorHAnsi" w:hAnsiTheme="minorHAnsi"/>
                <w:color w:val="231F20"/>
                <w:sz w:val="17"/>
              </w:rPr>
            </w:pPr>
            <w:r>
              <w:rPr>
                <w:rFonts w:cs="Calibri" w:cstheme="minorHAnsi" w:ascii="Calibri" w:hAnsi="Calibri"/>
                <w:color w:val="231F20"/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65" w:after="0"/>
              <w:ind w:hanging="170" w:start="218" w:end="45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podaje nazwy organów paproci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65" w:after="0"/>
              <w:ind w:hanging="170" w:start="218" w:end="9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miejsca występowania paprociowych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65" w:after="0"/>
              <w:ind w:start="218" w:end="45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35" w:before="1" w:after="0"/>
              <w:ind w:start="226" w:end="76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18" w:end="31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 rolę poszczególnych organów paproci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18" w:end="31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rozpoznaje na ilustracji w podręczniku jedną paproć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1" w:after="0"/>
              <w:ind w:start="218" w:end="100"/>
              <w:jc w:val="start"/>
              <w:rPr>
                <w:rFonts w:ascii="Calibri" w:hAnsi="Calibri" w:cs="Calibri" w:asciiTheme="minorHAnsi" w:cstheme="minorHAnsi" w:hAnsiTheme="minorHAnsi"/>
                <w:i/>
                <w:i/>
                <w:sz w:val="17"/>
              </w:rPr>
            </w:pPr>
            <w:r>
              <w:rPr>
                <w:rFonts w:cs="Calibri" w:cstheme="minorHAnsi" w:ascii="Calibri" w:hAnsi="Calibri"/>
                <w:i/>
                <w:sz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18" w:end="208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 znaczenie paprociowych  w przyrodzie i dla człowieka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18" w:end="31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rozpoznaje na ilustracji w podręczniku dwie paprocie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start="218" w:end="208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3" w:after="0"/>
              <w:ind w:start="218" w:end="428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6" w:type="dxa"/>
            <w:tcBorders>
              <w:top w:val="single" w:sz="4" w:space="0" w:color="BCBEC0"/>
              <w:start w:val="single" w:sz="4" w:space="0" w:color="BCBEC0"/>
              <w:bottom w:val="single" w:sz="6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wykazuje na podstawie ilustracji lub żywych okazów różnorodność paprociowych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18" w:end="31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rozpoznaje na ilustracji w podręczniku trzy paprocie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3" w:after="0"/>
              <w:ind w:start="218" w:end="308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</w:tr>
    </w:tbl>
    <w:p>
      <w:pPr>
        <w:sectPr>
          <w:footerReference w:type="default" r:id="rId4"/>
          <w:footerReference w:type="first" r:id="rId5"/>
          <w:type w:val="nextPage"/>
          <w:pgSz w:orient="landscape" w:w="15600" w:h="11630"/>
          <w:pgMar w:left="720" w:right="720" w:gutter="0" w:header="0" w:top="720" w:footer="708" w:bottom="765"/>
          <w:pgNumType w:fmt="decimal"/>
          <w:formProt w:val="false"/>
          <w:textDirection w:val="lrTb"/>
          <w:docGrid w:type="default" w:linePitch="299" w:charSpace="4096"/>
        </w:sectPr>
        <w:pStyle w:val="Normal"/>
        <w:spacing w:lineRule="auto" w:line="235"/>
        <w:rPr>
          <w:rFonts w:ascii="Calibri" w:hAnsi="Calibri" w:cs="Calibri" w:asciiTheme="minorHAnsi" w:cstheme="minorHAnsi" w:hAnsiTheme="minorHAnsi"/>
          <w:sz w:val="17"/>
        </w:rPr>
      </w:pPr>
      <w:r>
        <w:rPr>
          <w:rFonts w:cs="Calibri" w:cstheme="minorHAnsi" w:ascii="Calibri" w:hAnsi="Calibri"/>
          <w:sz w:val="17"/>
        </w:rPr>
      </w:r>
    </w:p>
    <w:tbl>
      <w:tblPr>
        <w:tblStyle w:val="TableNormal"/>
        <w:tblW w:w="13756" w:type="dxa"/>
        <w:jc w:val="center"/>
        <w:tblInd w:w="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firstRow="1" w:noVBand="0" w:lastRow="1" w:firstColumn="1" w:lastColumn="1" w:noHBand="0" w:val="01e0"/>
      </w:tblPr>
      <w:tblGrid>
        <w:gridCol w:w="624"/>
        <w:gridCol w:w="1780"/>
        <w:gridCol w:w="2268"/>
        <w:gridCol w:w="2269"/>
        <w:gridCol w:w="2268"/>
        <w:gridCol w:w="2267"/>
        <w:gridCol w:w="2279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0"/>
              <w:jc w:val="center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0" w:type="dxa"/>
            <w:vMerge w:val="restart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hanging="0" w:start="613" w:end="613"/>
              <w:jc w:val="center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51" w:type="dxa"/>
            <w:gridSpan w:val="5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92" w:after="0"/>
              <w:ind w:hanging="0" w:start="4975" w:end="4975"/>
              <w:jc w:val="center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kern w:val="0"/>
                <w:sz w:val="2"/>
                <w:szCs w:val="2"/>
                <w:lang w:eastAsia="en-US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0" w:type="dxa"/>
            <w:vMerge w:val="continue"/>
            <w:tcBorders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color w:val="000000"/>
                <w:kern w:val="0"/>
                <w:sz w:val="2"/>
                <w:szCs w:val="2"/>
                <w:lang w:eastAsia="en-US" w:bidi="ar-SA"/>
              </w:rPr>
            </w:pPr>
            <w:r>
              <w:rPr>
                <w:rFonts w:cs="Calibri" w:cstheme="minorHAnsi" w:ascii="Calibri" w:hAnsi="Calibri"/>
                <w:color w:val="000000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34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418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656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7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365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79" w:type="dxa"/>
            <w:tcBorders>
              <w:top w:val="single" w:sz="4" w:space="0" w:color="BCBEC0"/>
              <w:start w:val="single" w:sz="4" w:space="0" w:color="BCBEC0"/>
              <w:bottom w:val="single" w:sz="8" w:space="0" w:color="FDB515"/>
              <w:end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uppressAutoHyphens w:val="true"/>
              <w:spacing w:before="87" w:after="0"/>
              <w:ind w:hanging="0" w:start="576"/>
              <w:jc w:val="start"/>
              <w:rPr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000000"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1419" w:hRule="atLeast"/>
        </w:trPr>
        <w:tc>
          <w:tcPr>
            <w:tcW w:w="624" w:type="dxa"/>
            <w:vMerge w:val="restart"/>
            <w:tcBorders>
              <w:top w:val="single" w:sz="8" w:space="0" w:color="FDB515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hanging="170" w:start="170"/>
              <w:jc w:val="center"/>
              <w:rPr>
                <w:rFonts w:ascii="Calibri" w:hAnsi="Calibri" w:cs="Calibri" w:asciiTheme="minorHAnsi" w:cstheme="minorHAnsi" w:hAnsiTheme="minorHAnsi"/>
                <w:b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7"/>
                <w:szCs w:val="22"/>
                <w:lang w:eastAsia="en-US" w:bidi="ar-SA"/>
              </w:rPr>
              <w:t>V. Różnorodność roślin</w:t>
            </w:r>
          </w:p>
        </w:tc>
        <w:tc>
          <w:tcPr>
            <w:tcW w:w="1780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2" w:after="0"/>
              <w:ind w:start="5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20. Nagonasienne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61" w:after="0"/>
              <w:ind w:hanging="258" w:start="309" w:end="14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21" w:end="13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miejsca występowania roślin nagonasiennych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start="221" w:end="14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rozpoznaje na podstawie ilustracji lub żywych okazów rośliny nagonasienne wśród innych roślin</w:t>
            </w:r>
          </w:p>
        </w:tc>
        <w:tc>
          <w:tcPr>
            <w:tcW w:w="2269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26" w:leader="none"/>
                <w:tab w:val="left" w:pos="2268" w:leader="none"/>
              </w:tabs>
              <w:suppressAutoHyphens w:val="true"/>
              <w:spacing w:lineRule="auto" w:line="235" w:before="65" w:after="0"/>
              <w:ind w:hanging="170" w:start="221" w:end="30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 funkcje kwiatów i nasion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start="221" w:end="6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omawia budowę rośliny nagonasiennej </w:t>
              <w:br/>
              <w:t>na przykładzie sosny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2" w:after="0"/>
              <w:ind w:hanging="0" w:start="51" w:end="188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8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5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start="225" w:end="13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przystosowania roślin nagonasiennych</w:t>
            </w:r>
          </w:p>
          <w:p>
            <w:pPr>
              <w:pStyle w:val="Normal"/>
              <w:widowControl w:val="false"/>
              <w:suppressAutoHyphens w:val="true"/>
              <w:spacing w:lineRule="exact" w:line="206" w:before="0" w:after="0"/>
              <w:ind w:start="22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do warunków życia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uppressAutoHyphens w:val="true"/>
              <w:spacing w:lineRule="auto" w:line="235" w:before="0" w:after="0"/>
              <w:ind w:hanging="170" w:start="221" w:end="184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7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wykazuje przystosowania roślin nagonasiennych</w:t>
            </w:r>
          </w:p>
          <w:p>
            <w:pPr>
              <w:pStyle w:val="Normal"/>
              <w:widowControl w:val="false"/>
              <w:suppressAutoHyphens w:val="true"/>
              <w:spacing w:lineRule="exact" w:line="204" w:before="0" w:after="0"/>
              <w:ind w:start="22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do środowiska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omawia znaczenie roślin nagonasiennych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br/>
            </w: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 przyrodzie i dla człowieka</w:t>
            </w:r>
          </w:p>
          <w:p>
            <w:pPr>
              <w:pStyle w:val="TableParagraph"/>
              <w:widowControl w:val="false"/>
              <w:suppressAutoHyphens w:val="true"/>
              <w:spacing w:lineRule="auto" w:line="235" w:before="0" w:after="0"/>
              <w:ind w:hanging="0" w:start="221" w:end="33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79" w:type="dxa"/>
            <w:tcBorders>
              <w:top w:val="single" w:sz="8" w:space="0" w:color="FDB515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1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ind w:hanging="170" w:start="225" w:end="13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rozpoznaje rodzime gatunki roślin nagonasiennych</w:t>
            </w:r>
          </w:p>
          <w:p>
            <w:pPr>
              <w:pStyle w:val="Normal"/>
              <w:widowControl w:val="false"/>
              <w:numPr>
                <w:ilvl w:val="0"/>
                <w:numId w:val="41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2" w:after="0"/>
              <w:ind w:hanging="170" w:start="225" w:end="163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określa, z jakiego gatunku drzewa lub krzewu pochodzi wskazana szyszka</w:t>
            </w:r>
          </w:p>
        </w:tc>
      </w:tr>
      <w:tr>
        <w:trPr>
          <w:trHeight w:val="2340" w:hRule="atLeast"/>
        </w:trPr>
        <w:tc>
          <w:tcPr>
            <w:tcW w:w="624" w:type="dxa"/>
            <w:vMerge w:val="continue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sz w:val="2"/>
                <w:szCs w:val="2"/>
              </w:rPr>
            </w:r>
          </w:p>
        </w:tc>
        <w:tc>
          <w:tcPr>
            <w:tcW w:w="1780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2" w:after="0"/>
              <w:ind w:start="5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21. Okrytonasienne</w:t>
            </w:r>
          </w:p>
          <w:p>
            <w:pPr>
              <w:pStyle w:val="TableParagraph"/>
              <w:widowControl w:val="false"/>
              <w:suppressAutoHyphens w:val="true"/>
              <w:spacing w:before="57" w:after="0"/>
              <w:ind w:hanging="0" w:start="5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miejsca występowania roślin okrytonasiennych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start="221" w:end="14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na podstawie ilustracji lub żywych okazów rozpoznaje rośliny okrytonasienne wśród innych roślin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start="221" w:end="288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5" w:leader="none"/>
              </w:tabs>
              <w:suppressAutoHyphens w:val="true"/>
              <w:spacing w:lineRule="auto" w:line="235" w:before="65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na podstawie ilustracji, żywego lub zielnikowego okazu roślinnego wykazuje różnorodność form roślin okrytonasiennych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5" w:leader="none"/>
              </w:tabs>
              <w:suppressAutoHyphens w:val="true"/>
              <w:spacing w:lineRule="auto" w:line="235" w:before="4" w:after="0"/>
              <w:ind w:hanging="170" w:start="221" w:end="28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podaje nazwy elementów budowy kwiatu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5" w:leader="none"/>
              </w:tabs>
              <w:suppressAutoHyphens w:val="true"/>
              <w:spacing w:lineRule="auto" w:line="235" w:before="4" w:after="0"/>
              <w:ind w:hanging="170" w:start="221" w:end="28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na ilustracji lub żywym okazie rozpoznaje organy roślinne i wymienia ich funkcje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5" w:leader="none"/>
              </w:tabs>
              <w:suppressAutoHyphens w:val="true"/>
              <w:spacing w:lineRule="auto" w:line="235" w:before="4" w:after="0"/>
              <w:ind w:start="221" w:end="28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5" w:leader="none"/>
                <w:tab w:val="left" w:pos="2137" w:leader="none"/>
              </w:tabs>
              <w:suppressAutoHyphens w:val="true"/>
              <w:spacing w:lineRule="auto" w:line="235" w:before="3" w:after="0"/>
              <w:ind w:hanging="170" w:start="221" w:end="13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rozpoznaje formy roślin okrytonasiennych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5" w:leader="none"/>
                <w:tab w:val="left" w:pos="2137" w:leader="none"/>
              </w:tabs>
              <w:suppressAutoHyphens w:val="true"/>
              <w:spacing w:lineRule="auto" w:line="235" w:before="3" w:after="0"/>
              <w:ind w:hanging="170" w:start="221" w:end="13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odróżnia kwiat od kwiatostanu</w:t>
              <w:br/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uppressAutoHyphens w:val="true"/>
              <w:spacing w:lineRule="auto" w:line="235" w:before="0" w:after="0"/>
              <w:ind w:hanging="170" w:start="221" w:end="22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7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5" w:leader="none"/>
              </w:tabs>
              <w:suppressAutoHyphens w:val="true"/>
              <w:spacing w:lineRule="auto" w:line="235" w:before="65" w:after="0"/>
              <w:ind w:hanging="170" w:start="221" w:end="146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omawia funkcje poszczególnych elementów kwiatu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5" w:leader="none"/>
                <w:tab w:val="left" w:pos="2137" w:leader="none"/>
              </w:tabs>
              <w:suppressAutoHyphens w:val="true"/>
              <w:spacing w:lineRule="auto" w:line="235" w:before="2" w:after="0"/>
              <w:ind w:hanging="170" w:start="221" w:end="13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wyjaśnia, dlaczego kwiatostany ułatwiają zapylanie</w:t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hanging="0" w:start="22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7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2"/>
              </w:numPr>
              <w:tabs>
                <w:tab w:val="clear" w:pos="720"/>
                <w:tab w:val="left" w:pos="225" w:leader="none"/>
              </w:tabs>
              <w:suppressAutoHyphens w:val="true"/>
              <w:spacing w:lineRule="auto" w:line="235" w:before="65" w:after="0"/>
              <w:ind w:hanging="170" w:start="224" w:end="21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 rolę elementów kwiatu w rozmnażaniu roślin</w:t>
            </w:r>
          </w:p>
          <w:p>
            <w:pPr>
              <w:pStyle w:val="Normal"/>
              <w:widowControl w:val="false"/>
              <w:numPr>
                <w:ilvl w:val="0"/>
                <w:numId w:val="42"/>
              </w:numPr>
              <w:tabs>
                <w:tab w:val="clear" w:pos="720"/>
                <w:tab w:val="left" w:pos="225" w:leader="none"/>
              </w:tabs>
              <w:suppressAutoHyphens w:val="true"/>
              <w:spacing w:lineRule="auto" w:line="235" w:before="65" w:after="0"/>
              <w:ind w:hanging="170" w:start="224" w:end="21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wykazuje związek budowy kwiatu ze sposobem zapylania</w:t>
            </w:r>
          </w:p>
          <w:p>
            <w:pPr>
              <w:pStyle w:val="TableParagraph"/>
              <w:widowControl w:val="false"/>
              <w:suppressAutoHyphens w:val="true"/>
              <w:spacing w:lineRule="exact" w:line="204" w:before="0" w:after="0"/>
              <w:ind w:hanging="0" w:start="22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</w:tr>
      <w:tr>
        <w:trPr>
          <w:trHeight w:val="1600" w:hRule="atLeast"/>
        </w:trPr>
        <w:tc>
          <w:tcPr>
            <w:tcW w:w="624" w:type="dxa"/>
            <w:vMerge w:val="continue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sz w:val="2"/>
                <w:szCs w:val="2"/>
              </w:rPr>
            </w:r>
          </w:p>
        </w:tc>
        <w:tc>
          <w:tcPr>
            <w:tcW w:w="1780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35" w:before="70" w:after="0"/>
              <w:ind w:hanging="258" w:start="314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22. Owoc. Rozprzestrzenianie się roślin okrytonasiennych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exact" w:line="206" w:before="67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rodzaje owoców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hanging="170" w:start="220" w:end="197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przedstawia sposoby rozprzestrzeniania się owoców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ind w:start="220" w:end="197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start="220" w:end="194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na podstawie ilustracji </w:t>
              <w:br/>
              <w:t>lub żywych okazów omawia budowę owoców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exact" w:line="205" w:before="0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rodzaje owoców</w:t>
            </w:r>
          </w:p>
          <w:p>
            <w:pPr>
              <w:pStyle w:val="Normal"/>
              <w:widowControl w:val="false"/>
              <w:suppressAutoHyphens w:val="true"/>
              <w:spacing w:lineRule="auto" w:line="235" w:before="2" w:after="0"/>
              <w:ind w:start="226" w:end="52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start="220" w:end="511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wykazuje zmiany zachodzące w kwiecie po zapyleniu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exact" w:line="205" w:before="0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określa rolę owocni</w:t>
            </w:r>
          </w:p>
          <w:p>
            <w:pPr>
              <w:pStyle w:val="Normal"/>
              <w:widowControl w:val="false"/>
              <w:suppressAutoHyphens w:val="true"/>
              <w:spacing w:lineRule="exact" w:line="204" w:before="0" w:after="0"/>
              <w:ind w:start="226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 klasyfikacji owoców</w:t>
            </w:r>
          </w:p>
        </w:tc>
        <w:tc>
          <w:tcPr>
            <w:tcW w:w="2267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start="220" w:end="117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wykazuje adaptacje budowy owoców </w:t>
              <w:br/>
              <w:t>do sposobów ich rozprzestrzeniania się</w:t>
            </w:r>
          </w:p>
        </w:tc>
        <w:tc>
          <w:tcPr>
            <w:tcW w:w="227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70" w:after="0"/>
              <w:ind w:hanging="170" w:start="220" w:end="244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 wpływ różnych czynników na kiełkowanie nasion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3" w:after="0"/>
              <w:ind w:hanging="170" w:start="220" w:end="93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planuje i przeprowadza doświadczenie wykazujące wpływ wody na kiełkowanie nasion</w:t>
            </w:r>
          </w:p>
        </w:tc>
      </w:tr>
      <w:tr>
        <w:trPr>
          <w:trHeight w:val="1909" w:hRule="atLeast"/>
        </w:trPr>
        <w:tc>
          <w:tcPr>
            <w:tcW w:w="624" w:type="dxa"/>
            <w:vMerge w:val="continue"/>
            <w:tcBorders>
              <w:top w:val="single" w:sz="4" w:space="0" w:color="BCBEC0"/>
              <w:start w:val="single" w:sz="6" w:space="0" w:color="BCBEC0"/>
              <w:bottom w:val="single" w:sz="4" w:space="0" w:color="BCBEC0"/>
              <w:end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sz w:val="2"/>
                <w:szCs w:val="2"/>
              </w:rPr>
            </w:r>
          </w:p>
        </w:tc>
        <w:tc>
          <w:tcPr>
            <w:tcW w:w="1780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exact" w:line="206" w:before="62" w:after="0"/>
              <w:ind w:start="56" w:end="-99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23. Znaczenie</w:t>
            </w:r>
          </w:p>
          <w:p>
            <w:pPr>
              <w:pStyle w:val="Normal"/>
              <w:widowControl w:val="false"/>
              <w:suppressAutoHyphens w:val="true"/>
              <w:spacing w:lineRule="auto" w:line="235" w:before="2" w:after="0"/>
              <w:ind w:start="313" w:end="-99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i przegląd roślin okrytonasiennych</w:t>
            </w:r>
          </w:p>
          <w:p>
            <w:pPr>
              <w:pStyle w:val="Normal"/>
              <w:widowControl w:val="false"/>
              <w:suppressAutoHyphens w:val="true"/>
              <w:spacing w:lineRule="auto" w:line="235" w:before="70" w:after="0"/>
              <w:ind w:hanging="258" w:start="314"/>
              <w:jc w:val="start"/>
              <w:rPr>
                <w:rFonts w:ascii="Calibri" w:hAnsi="Calibri" w:cs="Calibri" w:asciiTheme="minorHAnsi" w:cstheme="minorHAnsi" w:hAnsiTheme="minorHAnsi"/>
                <w:color w:val="231F20"/>
                <w:sz w:val="17"/>
              </w:rPr>
            </w:pPr>
            <w:r>
              <w:rPr>
                <w:rFonts w:cs="Calibri" w:cstheme="minorHAnsi" w:ascii="Calibri" w:hAnsi="Calibri"/>
                <w:color w:val="231F20"/>
                <w:sz w:val="17"/>
              </w:rPr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3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65" w:after="0"/>
              <w:ind w:hanging="170" w:start="226" w:end="10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wymienia znaczenie roślin okrytonasiennych </w:t>
              <w:br/>
              <w:t>w przyrodzie</w:t>
            </w:r>
          </w:p>
          <w:p>
            <w:pPr>
              <w:pStyle w:val="Normal"/>
              <w:widowControl w:val="false"/>
              <w:numPr>
                <w:ilvl w:val="0"/>
                <w:numId w:val="43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3" w:after="0"/>
              <w:ind w:hanging="170" w:start="226" w:end="5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pomocą nauczyciela klasyfikuje nieznaną roślinę do odpowiedniej grupy</w:t>
            </w:r>
          </w:p>
        </w:tc>
        <w:tc>
          <w:tcPr>
            <w:tcW w:w="226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65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podaje przykłady znaczenia roślin okrytonasiennych</w:t>
            </w:r>
          </w:p>
          <w:p>
            <w:pPr>
              <w:pStyle w:val="Normal"/>
              <w:widowControl w:val="false"/>
              <w:suppressAutoHyphens w:val="true"/>
              <w:spacing w:lineRule="exact" w:line="204" w:before="0" w:after="0"/>
              <w:ind w:start="226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dla człowieka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niewielką pomocą nauczyciela klasyfikuje nieznaną roślinę do odpowiedniej grupy</w:t>
            </w:r>
          </w:p>
        </w:tc>
        <w:tc>
          <w:tcPr>
            <w:tcW w:w="2268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ocenia znaczenie roślin okrytonasiennych</w:t>
            </w:r>
          </w:p>
          <w:p>
            <w:pPr>
              <w:pStyle w:val="Normal"/>
              <w:widowControl w:val="false"/>
              <w:suppressAutoHyphens w:val="true"/>
              <w:spacing w:lineRule="exact" w:line="204" w:before="0" w:after="0"/>
              <w:ind w:start="22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 przyrodzie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auto" w:line="235" w:before="2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klasyfikuje nieznaną roślinę do odpowiedniej grupy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  <w:tab w:val="left" w:pos="1791" w:leader="none"/>
              </w:tabs>
              <w:suppressAutoHyphens w:val="true"/>
              <w:spacing w:lineRule="auto" w:line="235" w:before="3" w:after="0"/>
              <w:ind w:start="220" w:end="49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sz w:val="17"/>
              </w:rPr>
            </w:r>
          </w:p>
        </w:tc>
        <w:tc>
          <w:tcPr>
            <w:tcW w:w="2267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65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ocenia znaczenie roślin okrytonasiennych</w:t>
            </w:r>
          </w:p>
          <w:p>
            <w:pPr>
              <w:pStyle w:val="Normal"/>
              <w:widowControl w:val="false"/>
              <w:suppressAutoHyphens w:val="true"/>
              <w:spacing w:lineRule="exact" w:line="204" w:before="0" w:after="0"/>
              <w:ind w:start="225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dla człowieka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uppressAutoHyphens w:val="true"/>
              <w:spacing w:lineRule="exact" w:line="205" w:before="0" w:after="0"/>
              <w:jc w:val="star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przy pomocy nauczyciela korzysta z prostego klucza lub aplikacji mobilnej </w:t>
              <w:br/>
              <w:t>do oznaczania organizmów żyjących w najbliższej okolicy</w:t>
            </w:r>
          </w:p>
        </w:tc>
        <w:tc>
          <w:tcPr>
            <w:tcW w:w="2279" w:type="dxa"/>
            <w:tcBorders>
              <w:top w:val="single" w:sz="4" w:space="0" w:color="BCBEC0"/>
              <w:start w:val="single" w:sz="4" w:space="0" w:color="BCBEC0"/>
              <w:bottom w:val="single" w:sz="4" w:space="0" w:color="BCBEC0"/>
              <w:end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start="220" w:end="100"/>
              <w:jc w:val="start"/>
              <w:rPr>
                <w:rFonts w:ascii="Calibri" w:hAnsi="Calibri" w:cs="Calibri" w:asciiTheme="minorHAnsi" w:cstheme="minorHAnsi" w:hAnsiTheme="minorHAnsi"/>
                <w:color w:val="231F20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sprawnie korzysta                       z prostego klucza lub aplikacji mobilnej do oznaczania organizmów żyjących w najbliższej okolicy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6" w:leader="none"/>
              </w:tabs>
              <w:suppressAutoHyphens w:val="true"/>
              <w:spacing w:lineRule="auto" w:line="235" w:before="3" w:after="0"/>
              <w:ind w:hanging="170" w:start="220" w:end="100"/>
              <w:jc w:val="start"/>
              <w:rPr>
                <w:rFonts w:ascii="Calibri" w:hAnsi="Calibri" w:cs="Calibri" w:asciiTheme="minorHAnsi" w:cstheme="minorHAnsi" w:hAnsiTheme="minorHAnsi"/>
                <w:color w:val="231F20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wykazuje na dowolnych przykładach różnorodność roślin okrytonasiennych </w:t>
              <w:br/>
              <w:t>i ich znaczenie</w:t>
            </w:r>
          </w:p>
        </w:tc>
      </w:tr>
    </w:tbl>
    <w:p>
      <w:pPr>
        <w:pStyle w:val="Normal"/>
        <w:spacing w:lineRule="auto" w:line="235"/>
        <w:rPr>
          <w:rFonts w:ascii="Calibri" w:hAnsi="Calibri" w:cs="Calibri" w:asciiTheme="minorHAnsi" w:cstheme="minorHAnsi" w:hAnsiTheme="minorHAnsi"/>
          <w:sz w:val="17"/>
        </w:rPr>
      </w:pPr>
      <w:r>
        <w:rPr>
          <w:rFonts w:cs="Calibri" w:cstheme="minorHAnsi" w:ascii="Calibri" w:hAnsi="Calibri"/>
          <w:sz w:val="17"/>
        </w:rPr>
      </w:r>
    </w:p>
    <w:p>
      <w:pPr>
        <w:pStyle w:val="Normal"/>
        <w:spacing w:before="15" w:after="0"/>
        <w:ind w:start="142"/>
        <w:rPr>
          <w:rFonts w:ascii="Calibri" w:hAnsi="Calibri" w:cs="Calibri" w:asciiTheme="minorHAnsi" w:cstheme="minorHAnsi" w:hAnsiTheme="minorHAnsi"/>
          <w:sz w:val="17"/>
          <w:szCs w:val="17"/>
        </w:rPr>
      </w:pPr>
      <w:r>
        <w:rPr>
          <w:rFonts w:cs="Calibri" w:cstheme="minorHAnsi" w:ascii="Calibri" w:hAnsi="Calibri"/>
          <w:sz w:val="17"/>
          <w:szCs w:val="17"/>
        </w:rPr>
      </w:r>
    </w:p>
    <w:sectPr>
      <w:footerReference w:type="default" r:id="rId6"/>
      <w:footerReference w:type="first" r:id="rId7"/>
      <w:type w:val="nextPage"/>
      <w:pgSz w:orient="landscape" w:w="15600" w:h="11630"/>
      <w:pgMar w:left="720" w:right="720" w:gutter="0" w:header="0" w:top="720" w:footer="708" w:bottom="765"/>
      <w:pgNumType w:fmt="decimal"/>
      <w:formProt w:val="false"/>
      <w:textDirection w:val="lrTb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Humanst521EU-Normal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roman"/>
    <w:pitch w:val="variable"/>
  </w:font>
  <w:font w:name="Swis721BlkCnEU-Italic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Humanst521EU-Normal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2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3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4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5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6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7">
    <w:lvl w:ilvl="0">
      <w:numFmt w:val="bullet"/>
      <w:lvlText w:val="•"/>
      <w:lvlJc w:val="start"/>
      <w:pPr>
        <w:tabs>
          <w:tab w:val="num" w:pos="0"/>
        </w:tabs>
        <w:ind w:start="218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0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4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7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1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4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48" w:hanging="170"/>
      </w:pPr>
      <w:rPr>
        <w:rFonts w:ascii="Symbol" w:hAnsi="Symbol" w:cs="Symbol" w:hint="default"/>
      </w:rPr>
    </w:lvl>
  </w:abstractNum>
  <w:abstractNum w:abstractNumId="8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22" w:hanging="170"/>
      </w:pPr>
      <w:rPr>
        <w:rFonts w:ascii="Symbol" w:hAnsi="Symbol" w:cs="Symbol" w:hint="default"/>
      </w:rPr>
    </w:lvl>
  </w:abstractNum>
  <w:abstractNum w:abstractNumId="9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0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22" w:hanging="170"/>
      </w:pPr>
      <w:rPr>
        <w:rFonts w:ascii="Symbol" w:hAnsi="Symbol" w:cs="Symbol" w:hint="default"/>
      </w:rPr>
    </w:lvl>
  </w:abstractNum>
  <w:abstractNum w:abstractNumId="11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2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3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4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5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6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7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8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19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20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6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70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8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9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03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14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2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36" w:hanging="170"/>
      </w:pPr>
      <w:rPr>
        <w:rFonts w:ascii="Symbol" w:hAnsi="Symbol" w:cs="Symbol" w:hint="default"/>
      </w:rPr>
    </w:lvl>
  </w:abstractNum>
  <w:abstractNum w:abstractNumId="21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22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23">
    <w:lvl w:ilvl="0">
      <w:numFmt w:val="bullet"/>
      <w:lvlText w:val="•"/>
      <w:lvlJc w:val="start"/>
      <w:pPr>
        <w:tabs>
          <w:tab w:val="num" w:pos="0"/>
        </w:tabs>
        <w:ind w:start="220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24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22" w:hanging="170"/>
      </w:pPr>
      <w:rPr>
        <w:rFonts w:ascii="Symbol" w:hAnsi="Symbol" w:cs="Symbol" w:hint="default"/>
      </w:rPr>
    </w:lvl>
  </w:abstractNum>
  <w:abstractNum w:abstractNumId="25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26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27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28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0" w:hanging="170"/>
      </w:pPr>
      <w:rPr>
        <w:rFonts w:ascii="Symbol" w:hAnsi="Symbol" w:cs="Symbol" w:hint="default"/>
      </w:rPr>
    </w:lvl>
  </w:abstractNum>
  <w:abstractNum w:abstractNumId="29">
    <w:lvl w:ilvl="0">
      <w:numFmt w:val="bullet"/>
      <w:lvlText w:val="•"/>
      <w:lvlJc w:val="start"/>
      <w:pPr>
        <w:tabs>
          <w:tab w:val="num" w:pos="0"/>
        </w:tabs>
        <w:ind w:start="226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eastAsia="en-US" w:bidi="en-US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0">
    <w:lvl w:ilvl="0">
      <w:numFmt w:val="bullet"/>
      <w:lvlText w:val="•"/>
      <w:lvlJc w:val="start"/>
      <w:pPr>
        <w:tabs>
          <w:tab w:val="num" w:pos="0"/>
        </w:tabs>
        <w:ind w:start="226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eastAsia="en-US" w:bidi="en-US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00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18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37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55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174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393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11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30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1">
    <w:lvl w:ilvl="0">
      <w:numFmt w:val="bullet"/>
      <w:lvlText w:val="•"/>
      <w:lvlJc w:val="start"/>
      <w:pPr>
        <w:tabs>
          <w:tab w:val="num" w:pos="0"/>
        </w:tabs>
        <w:ind w:start="225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eastAsia="en-US" w:bidi="en-US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2">
    <w:lvl w:ilvl="0">
      <w:numFmt w:val="bullet"/>
      <w:lvlText w:val="•"/>
      <w:lvlJc w:val="start"/>
      <w:pPr>
        <w:tabs>
          <w:tab w:val="num" w:pos="0"/>
        </w:tabs>
        <w:ind w:start="226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eastAsia="en-US" w:bidi="en-US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3">
    <w:lvl w:ilvl="0">
      <w:numFmt w:val="bullet"/>
      <w:lvlText w:val="•"/>
      <w:lvlJc w:val="start"/>
      <w:pPr>
        <w:tabs>
          <w:tab w:val="num" w:pos="0"/>
        </w:tabs>
        <w:ind w:start="226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eastAsia="en-US" w:bidi="en-US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00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18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37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55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174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393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11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30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4">
    <w:lvl w:ilvl="0">
      <w:numFmt w:val="bullet"/>
      <w:lvlText w:val="•"/>
      <w:lvlJc w:val="start"/>
      <w:pPr>
        <w:tabs>
          <w:tab w:val="num" w:pos="0"/>
        </w:tabs>
        <w:ind w:start="226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eastAsia="en-US" w:bidi="en-US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5">
    <w:lvl w:ilvl="0">
      <w:numFmt w:val="bullet"/>
      <w:lvlText w:val="•"/>
      <w:lvlJc w:val="start"/>
      <w:pPr>
        <w:tabs>
          <w:tab w:val="num" w:pos="0"/>
        </w:tabs>
        <w:ind w:start="225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eastAsia="en-US" w:bidi="en-US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6">
    <w:lvl w:ilvl="0">
      <w:numFmt w:val="bullet"/>
      <w:lvlText w:val="•"/>
      <w:lvlJc w:val="start"/>
      <w:pPr>
        <w:tabs>
          <w:tab w:val="num" w:pos="0"/>
        </w:tabs>
        <w:ind w:start="226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eastAsia="en-US" w:bidi="en-US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7">
    <w:lvl w:ilvl="0">
      <w:numFmt w:val="bullet"/>
      <w:lvlText w:val="•"/>
      <w:lvlJc w:val="start"/>
      <w:pPr>
        <w:tabs>
          <w:tab w:val="num" w:pos="0"/>
        </w:tabs>
        <w:ind w:start="226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eastAsia="en-US" w:bidi="en-US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8">
    <w:lvl w:ilvl="0">
      <w:numFmt w:val="bullet"/>
      <w:lvlText w:val="•"/>
      <w:lvlJc w:val="start"/>
      <w:pPr>
        <w:tabs>
          <w:tab w:val="num" w:pos="0"/>
        </w:tabs>
        <w:ind w:start="226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eastAsia="en-US" w:bidi="en-US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9">
    <w:lvl w:ilvl="0">
      <w:numFmt w:val="bullet"/>
      <w:lvlText w:val="•"/>
      <w:lvlJc w:val="start"/>
      <w:pPr>
        <w:tabs>
          <w:tab w:val="num" w:pos="0"/>
        </w:tabs>
        <w:ind w:start="226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eastAsia="en-US" w:bidi="en-US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40">
    <w:lvl w:ilvl="0">
      <w:numFmt w:val="bullet"/>
      <w:lvlText w:val="•"/>
      <w:lvlJc w:val="start"/>
      <w:pPr>
        <w:tabs>
          <w:tab w:val="num" w:pos="0"/>
        </w:tabs>
        <w:ind w:start="226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eastAsia="en-US" w:bidi="en-US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300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518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737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955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174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393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11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30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41">
    <w:lvl w:ilvl="0">
      <w:numFmt w:val="bullet"/>
      <w:lvlText w:val="•"/>
      <w:lvlJc w:val="start"/>
      <w:pPr>
        <w:tabs>
          <w:tab w:val="num" w:pos="0"/>
        </w:tabs>
        <w:ind w:start="225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eastAsia="en-US" w:bidi="en-US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42">
    <w:lvl w:ilvl="0">
      <w:numFmt w:val="bullet"/>
      <w:lvlText w:val="•"/>
      <w:lvlJc w:val="start"/>
      <w:pPr>
        <w:tabs>
          <w:tab w:val="num" w:pos="0"/>
        </w:tabs>
        <w:ind w:start="224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eastAsia="en-US" w:bidi="en-US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43">
    <w:lvl w:ilvl="0">
      <w:numFmt w:val="bullet"/>
      <w:lvlText w:val="•"/>
      <w:lvlJc w:val="start"/>
      <w:pPr>
        <w:tabs>
          <w:tab w:val="num" w:pos="0"/>
        </w:tabs>
        <w:ind w:start="226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eastAsia="en-US" w:bidi="en-US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44">
    <w:lvl w:ilvl="0">
      <w:numFmt w:val="bullet"/>
      <w:lvlText w:val="•"/>
      <w:lvlJc w:val="start"/>
      <w:pPr>
        <w:tabs>
          <w:tab w:val="num" w:pos="0"/>
        </w:tabs>
        <w:ind w:start="225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  <w:lang w:val="en-US" w:eastAsia="en-US" w:bidi="en-US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509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79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1089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37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669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95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2248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253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45">
    <w:lvl w:ilvl="0">
      <w:numFmt w:val="bullet"/>
      <w:lvlText w:val="•"/>
      <w:lvlJc w:val="start"/>
      <w:pPr>
        <w:tabs>
          <w:tab w:val="num" w:pos="0"/>
        </w:tabs>
        <w:ind w:start="221" w:hanging="170"/>
      </w:pPr>
      <w:rPr>
        <w:rFonts w:ascii="Humanst521EU-Normal" w:hAnsi="Humanst521EU-Normal" w:cs="Humanst521EU-Normal" w:hint="default"/>
        <w:sz w:val="17"/>
        <w:spacing w:val="-16"/>
        <w:szCs w:val="17"/>
        <w:w w:val="100"/>
        <w:color w:val="231F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508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79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1086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137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1664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195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2241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2530" w:hanging="170"/>
      </w:pPr>
      <w:rPr>
        <w:rFonts w:ascii="Symbol" w:hAnsi="Symbol" w:cs="Symbol" w:hint="default"/>
      </w:rPr>
    </w:lvl>
  </w:abstractNum>
  <w:abstractNum w:abstractNumId="4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w="http://schemas.openxmlformats.org/wordprocessingml/2006/main">
  <w:zoom w:percent="129"/>
  <w:defaultTabStop w:val="720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uiPriority w:val="1"/>
    <w:qFormat/>
    <w:rsid w:val="00a57fb3"/>
    <w:pPr>
      <w:widowControl w:val="false"/>
      <w:suppressAutoHyphens w:val="true"/>
      <w:bidi w:val="0"/>
      <w:spacing w:before="0" w:after="0"/>
      <w:jc w:val="start"/>
    </w:pPr>
    <w:rPr>
      <w:rFonts w:ascii="Humanst521EU-Normal" w:hAnsi="Humanst521EU-Normal" w:eastAsia="Humanst521EU-Normal" w:cs="Humanst521EU-Normal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6e35a6"/>
    <w:rPr>
      <w:rFonts w:ascii="Humanst521EU-Normal" w:hAnsi="Humanst521EU-Normal" w:eastAsia="Humanst521EU-Normal" w:cs="Humanst521EU-Normal"/>
      <w:lang w:val="pl-PL"/>
    </w:rPr>
  </w:style>
  <w:style w:type="character" w:styleId="StopkaZnak" w:customStyle="1">
    <w:name w:val="Stopka Znak"/>
    <w:basedOn w:val="DefaultParagraphFont"/>
    <w:uiPriority w:val="99"/>
    <w:qFormat/>
    <w:rsid w:val="006e35a6"/>
    <w:rPr>
      <w:rFonts w:ascii="Humanst521EU-Normal" w:hAnsi="Humanst521EU-Normal" w:eastAsia="Humanst521EU-Normal" w:cs="Humanst521EU-Normal"/>
      <w:lang w:val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rsid w:val="00a57fb3"/>
    <w:pPr/>
    <w:rPr>
      <w:rFonts w:ascii="Swis721BlkCnEU-Italic" w:hAnsi="Swis721BlkCnEU-Italic" w:eastAsia="Swis721BlkCnEU-Italic" w:cs="Swis721BlkCnEU-Italic"/>
      <w:i/>
      <w:sz w:val="15"/>
      <w:szCs w:val="15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a57fb3"/>
    <w:pPr/>
    <w:rPr/>
  </w:style>
  <w:style w:type="paragraph" w:styleId="TableParagraph" w:customStyle="1">
    <w:name w:val="Table Paragraph"/>
    <w:basedOn w:val="Normal"/>
    <w:uiPriority w:val="1"/>
    <w:qFormat/>
    <w:rsid w:val="00a57fb3"/>
    <w:pPr>
      <w:ind w:hanging="170" w:start="221"/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6e35a6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6e35a6"/>
    <w:pPr>
      <w:tabs>
        <w:tab w:val="clear" w:pos="720"/>
        <w:tab w:val="center" w:pos="4536" w:leader="none"/>
        <w:tab w:val="right" w:pos="9072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57fb3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CAA4D-0F1A-4905-AB06-2810EA347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Application>LibreOffice/7.6.2.1$Windows_X86_64 LibreOffice_project/56f7684011345957bbf33a7ee678afaf4d2ba333</Application>
  <AppVersion>15.0000</AppVersion>
  <Pages>6</Pages>
  <Words>2377</Words>
  <Characters>15643</Characters>
  <CharactersWithSpaces>17612</CharactersWithSpaces>
  <Paragraphs>371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2024-08-05T08:48:00Z</dcterms:created>
  <dc:creator>Dorota Dąbrowska-Mróz</dc:creator>
  <dc:description/>
  <dc:language>pl-PL</dc:language>
  <cp:lastModifiedBy/>
  <dcterms:modified xsi:type="dcterms:W3CDTF">2026-09-22T06:48:08Z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